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sz w:val="32"/>
          <w:szCs w:val="32"/>
          <w:lang w:eastAsia="zh-CN"/>
        </w:rPr>
      </w:pPr>
      <w:r>
        <w:rPr>
          <w:rFonts w:hint="eastAsia" w:eastAsia="黑体"/>
          <w:sz w:val="32"/>
          <w:szCs w:val="32"/>
        </w:rPr>
        <w:t>附件</w:t>
      </w:r>
      <w:r>
        <w:rPr>
          <w:rFonts w:hint="eastAsia" w:eastAsia="黑体"/>
          <w:sz w:val="32"/>
          <w:szCs w:val="32"/>
          <w:lang w:val="en-US" w:eastAsia="zh-CN"/>
        </w:rPr>
        <w:t>7</w:t>
      </w:r>
    </w:p>
    <w:p>
      <w:pPr>
        <w:pStyle w:val="4"/>
        <w:ind w:left="420"/>
        <w:rPr>
          <w:rFonts w:ascii="Times New Roman" w:hAnsi="Times New Roman"/>
        </w:rPr>
      </w:pPr>
    </w:p>
    <w:p>
      <w:pPr>
        <w:spacing w:line="575" w:lineRule="exact"/>
        <w:jc w:val="center"/>
        <w:rPr>
          <w:rFonts w:eastAsia="方正小标宋_GBK"/>
          <w:sz w:val="44"/>
          <w:szCs w:val="44"/>
        </w:rPr>
      </w:pPr>
      <w:r>
        <w:rPr>
          <w:rFonts w:eastAsia="方正小标宋_GBK"/>
          <w:sz w:val="44"/>
          <w:szCs w:val="44"/>
        </w:rPr>
        <w:t>广州市人民政府办公厅关于印发广州市风险</w:t>
      </w:r>
    </w:p>
    <w:p>
      <w:pPr>
        <w:spacing w:line="575" w:lineRule="exact"/>
        <w:jc w:val="center"/>
        <w:rPr>
          <w:rFonts w:eastAsia="方正小标宋_GBK"/>
          <w:sz w:val="44"/>
          <w:szCs w:val="44"/>
        </w:rPr>
      </w:pPr>
      <w:r>
        <w:rPr>
          <w:rFonts w:eastAsia="方正小标宋_GBK"/>
          <w:sz w:val="44"/>
          <w:szCs w:val="44"/>
        </w:rPr>
        <w:t>投资市场规范发展管理办法的通知</w:t>
      </w:r>
    </w:p>
    <w:p>
      <w:pPr>
        <w:spacing w:line="575" w:lineRule="exact"/>
        <w:ind w:firstLine="640" w:firstLineChars="200"/>
        <w:jc w:val="center"/>
        <w:rPr>
          <w:rFonts w:eastAsia="仿宋_GB2312"/>
          <w:sz w:val="32"/>
          <w:szCs w:val="32"/>
        </w:rPr>
      </w:pPr>
      <w:r>
        <w:rPr>
          <w:rFonts w:eastAsia="仿宋_GB2312"/>
          <w:sz w:val="32"/>
          <w:szCs w:val="32"/>
        </w:rPr>
        <w:t>穗府办规〔20</w:t>
      </w:r>
      <w:r>
        <w:rPr>
          <w:rFonts w:hint="eastAsia" w:eastAsia="仿宋_GB2312"/>
          <w:sz w:val="32"/>
          <w:szCs w:val="32"/>
        </w:rPr>
        <w:t>20</w:t>
      </w:r>
      <w:r>
        <w:rPr>
          <w:rFonts w:eastAsia="仿宋_GB2312"/>
          <w:sz w:val="32"/>
          <w:szCs w:val="32"/>
        </w:rPr>
        <w:t>〕</w:t>
      </w:r>
      <w:r>
        <w:rPr>
          <w:rFonts w:hint="eastAsia" w:eastAsia="仿宋_GB2312"/>
          <w:sz w:val="32"/>
          <w:szCs w:val="32"/>
        </w:rPr>
        <w:t>21</w:t>
      </w:r>
      <w:r>
        <w:rPr>
          <w:rFonts w:eastAsia="仿宋_GB2312"/>
          <w:sz w:val="32"/>
          <w:szCs w:val="32"/>
        </w:rPr>
        <w:t>号</w:t>
      </w:r>
    </w:p>
    <w:p>
      <w:pPr>
        <w:spacing w:line="435" w:lineRule="exact"/>
        <w:ind w:firstLine="640" w:firstLineChars="200"/>
        <w:rPr>
          <w:rFonts w:eastAsia="仿宋_GB2312"/>
          <w:sz w:val="32"/>
          <w:szCs w:val="32"/>
        </w:rPr>
      </w:pPr>
    </w:p>
    <w:p>
      <w:pPr>
        <w:wordWrap w:val="0"/>
        <w:spacing w:line="575" w:lineRule="exact"/>
        <w:rPr>
          <w:rFonts w:eastAsia="仿宋_GB2312"/>
          <w:sz w:val="32"/>
          <w:szCs w:val="32"/>
        </w:rPr>
      </w:pPr>
      <w:r>
        <w:rPr>
          <w:rFonts w:eastAsia="仿宋_GB2312"/>
          <w:sz w:val="32"/>
          <w:szCs w:val="32"/>
        </w:rPr>
        <w:t>各区人民政府，市政府各</w:t>
      </w:r>
      <w:bookmarkStart w:id="0" w:name="_GoBack"/>
      <w:bookmarkEnd w:id="0"/>
      <w:r>
        <w:rPr>
          <w:rFonts w:eastAsia="仿宋_GB2312"/>
          <w:sz w:val="32"/>
          <w:szCs w:val="32"/>
        </w:rPr>
        <w:t>部门、各直属机构：</w:t>
      </w:r>
    </w:p>
    <w:p>
      <w:pPr>
        <w:wordWrap w:val="0"/>
        <w:spacing w:line="575" w:lineRule="exact"/>
        <w:ind w:firstLine="640" w:firstLineChars="200"/>
        <w:rPr>
          <w:rFonts w:eastAsia="仿宋_GB2312"/>
          <w:sz w:val="32"/>
          <w:szCs w:val="32"/>
        </w:rPr>
      </w:pPr>
      <w:r>
        <w:rPr>
          <w:rFonts w:eastAsia="仿宋_GB2312"/>
          <w:sz w:val="32"/>
          <w:szCs w:val="32"/>
        </w:rPr>
        <w:t>《广州市风险投资市场规范发展管理办法》业经市人民政府同意，现印发给你们，请认真贯彻执行。执行中遇到的问题，请径向市地方金融监管局反映。</w:t>
      </w:r>
    </w:p>
    <w:p>
      <w:pPr>
        <w:wordWrap w:val="0"/>
        <w:spacing w:line="575" w:lineRule="exact"/>
        <w:ind w:firstLine="640" w:firstLineChars="200"/>
        <w:jc w:val="right"/>
        <w:rPr>
          <w:rFonts w:eastAsia="仿宋_GB2312"/>
          <w:sz w:val="32"/>
          <w:szCs w:val="32"/>
        </w:rPr>
      </w:pPr>
    </w:p>
    <w:p>
      <w:pPr>
        <w:pStyle w:val="4"/>
        <w:ind w:left="420"/>
        <w:rPr>
          <w:rFonts w:ascii="Times New Roman" w:hAnsi="Times New Roman" w:eastAsia="仿宋_GB2312"/>
          <w:sz w:val="32"/>
          <w:szCs w:val="32"/>
        </w:rPr>
      </w:pPr>
    </w:p>
    <w:p/>
    <w:p>
      <w:pPr>
        <w:wordWrap w:val="0"/>
        <w:spacing w:line="575" w:lineRule="exact"/>
        <w:ind w:firstLine="640" w:firstLineChars="200"/>
        <w:jc w:val="right"/>
        <w:rPr>
          <w:rFonts w:eastAsia="仿宋_GB2312"/>
          <w:sz w:val="32"/>
          <w:szCs w:val="32"/>
        </w:rPr>
      </w:pPr>
      <w:r>
        <w:rPr>
          <w:rFonts w:eastAsia="仿宋_GB2312"/>
          <w:sz w:val="32"/>
          <w:szCs w:val="32"/>
        </w:rPr>
        <w:t>广州市人民政府办公厅</w:t>
      </w:r>
      <w:r>
        <w:rPr>
          <w:rFonts w:hint="eastAsia" w:eastAsia="仿宋_GB2312"/>
          <w:sz w:val="32"/>
          <w:szCs w:val="32"/>
        </w:rPr>
        <w:t xml:space="preserve"> </w:t>
      </w:r>
    </w:p>
    <w:p>
      <w:pPr>
        <w:wordWrap w:val="0"/>
        <w:spacing w:line="575" w:lineRule="exact"/>
        <w:ind w:firstLine="640" w:firstLineChars="200"/>
        <w:jc w:val="right"/>
        <w:rPr>
          <w:rFonts w:eastAsia="仿宋_GB2312"/>
          <w:sz w:val="32"/>
          <w:szCs w:val="32"/>
        </w:rPr>
      </w:pPr>
      <w:r>
        <w:rPr>
          <w:rFonts w:eastAsia="仿宋_GB2312"/>
          <w:sz w:val="32"/>
          <w:szCs w:val="32"/>
        </w:rPr>
        <w:t>2020年8月5日</w:t>
      </w:r>
      <w:r>
        <w:rPr>
          <w:rFonts w:hint="eastAsia" w:eastAsia="仿宋_GB2312"/>
          <w:sz w:val="32"/>
          <w:szCs w:val="32"/>
        </w:rPr>
        <w:t xml:space="preserve">  </w:t>
      </w:r>
    </w:p>
    <w:p>
      <w:pPr>
        <w:spacing w:line="575" w:lineRule="exact"/>
        <w:ind w:firstLine="640" w:firstLineChars="200"/>
        <w:jc w:val="right"/>
        <w:rPr>
          <w:rFonts w:eastAsia="仿宋_GB2312"/>
          <w:sz w:val="32"/>
          <w:szCs w:val="32"/>
        </w:rPr>
      </w:pPr>
    </w:p>
    <w:p>
      <w:pPr>
        <w:spacing w:line="575" w:lineRule="exact"/>
        <w:ind w:firstLine="640" w:firstLineChars="200"/>
        <w:jc w:val="right"/>
        <w:rPr>
          <w:rFonts w:eastAsia="仿宋_GB2312"/>
          <w:sz w:val="32"/>
          <w:szCs w:val="32"/>
        </w:rPr>
      </w:pPr>
    </w:p>
    <w:p>
      <w:pPr>
        <w:spacing w:line="575" w:lineRule="exact"/>
        <w:ind w:firstLine="640" w:firstLineChars="200"/>
        <w:jc w:val="right"/>
        <w:rPr>
          <w:rFonts w:eastAsia="仿宋_GB2312"/>
          <w:sz w:val="32"/>
          <w:szCs w:val="32"/>
        </w:rPr>
      </w:pPr>
    </w:p>
    <w:p>
      <w:pPr>
        <w:spacing w:line="575" w:lineRule="exact"/>
        <w:ind w:firstLine="640" w:firstLineChars="200"/>
        <w:jc w:val="right"/>
        <w:rPr>
          <w:rFonts w:eastAsia="仿宋_GB2312"/>
          <w:sz w:val="32"/>
          <w:szCs w:val="32"/>
        </w:rPr>
      </w:pPr>
    </w:p>
    <w:p>
      <w:pPr>
        <w:spacing w:line="575" w:lineRule="exact"/>
        <w:ind w:firstLine="640" w:firstLineChars="200"/>
        <w:jc w:val="right"/>
        <w:rPr>
          <w:rFonts w:eastAsia="仿宋_GB2312"/>
          <w:sz w:val="32"/>
          <w:szCs w:val="32"/>
        </w:rPr>
      </w:pPr>
    </w:p>
    <w:p>
      <w:pPr>
        <w:spacing w:line="575" w:lineRule="exact"/>
        <w:ind w:firstLine="640" w:firstLineChars="200"/>
        <w:jc w:val="right"/>
        <w:rPr>
          <w:rFonts w:eastAsia="仿宋_GB2312"/>
          <w:sz w:val="32"/>
          <w:szCs w:val="32"/>
        </w:rPr>
      </w:pPr>
    </w:p>
    <w:p>
      <w:pPr>
        <w:spacing w:line="575" w:lineRule="exact"/>
        <w:ind w:firstLine="640" w:firstLineChars="200"/>
        <w:jc w:val="right"/>
        <w:rPr>
          <w:rFonts w:eastAsia="仿宋_GB2312"/>
          <w:sz w:val="32"/>
          <w:szCs w:val="32"/>
        </w:rPr>
      </w:pPr>
    </w:p>
    <w:p>
      <w:pPr>
        <w:spacing w:line="575" w:lineRule="exact"/>
        <w:ind w:firstLine="640" w:firstLineChars="200"/>
        <w:jc w:val="right"/>
        <w:rPr>
          <w:rFonts w:eastAsia="仿宋_GB2312"/>
          <w:sz w:val="32"/>
          <w:szCs w:val="32"/>
        </w:rPr>
      </w:pPr>
    </w:p>
    <w:p>
      <w:pPr>
        <w:spacing w:line="575" w:lineRule="exact"/>
        <w:jc w:val="center"/>
        <w:rPr>
          <w:rFonts w:eastAsia="方正小标宋_GBK"/>
          <w:sz w:val="44"/>
          <w:szCs w:val="44"/>
        </w:rPr>
      </w:pPr>
      <w:r>
        <w:rPr>
          <w:rFonts w:eastAsia="方正小标宋_GBK"/>
          <w:sz w:val="44"/>
          <w:szCs w:val="44"/>
        </w:rPr>
        <w:t>广州市风险投资市场规范发展管理办法</w:t>
      </w:r>
    </w:p>
    <w:p>
      <w:pPr>
        <w:spacing w:before="93" w:beforeLines="30" w:after="93" w:afterLines="30" w:line="575" w:lineRule="exact"/>
        <w:jc w:val="center"/>
        <w:rPr>
          <w:rFonts w:eastAsia="仿宋_GB2312"/>
          <w:sz w:val="32"/>
          <w:szCs w:val="32"/>
        </w:rPr>
      </w:pPr>
      <w:r>
        <w:rPr>
          <w:rFonts w:eastAsia="黑体"/>
          <w:sz w:val="32"/>
          <w:szCs w:val="32"/>
        </w:rPr>
        <w:t>第一章 总则</w:t>
      </w:r>
    </w:p>
    <w:p>
      <w:pPr>
        <w:spacing w:line="575" w:lineRule="exact"/>
        <w:ind w:firstLine="643" w:firstLineChars="200"/>
        <w:rPr>
          <w:rFonts w:eastAsia="仿宋_GB2312"/>
          <w:sz w:val="32"/>
          <w:szCs w:val="32"/>
        </w:rPr>
      </w:pPr>
      <w:r>
        <w:rPr>
          <w:rFonts w:eastAsia="仿宋_GB2312"/>
          <w:b/>
          <w:bCs/>
          <w:sz w:val="32"/>
          <w:szCs w:val="32"/>
        </w:rPr>
        <w:t xml:space="preserve">第一条 </w:t>
      </w:r>
      <w:r>
        <w:rPr>
          <w:rFonts w:eastAsia="仿宋_GB2312"/>
          <w:sz w:val="32"/>
          <w:szCs w:val="32"/>
        </w:rPr>
        <w:t>为贯彻落实《广州市人民政府关于印发支持广州区域金融中心建设若干规定的通知》（穗府规〔2019〕1号）、《广州市人民政府关于进一步发展和利用资本市场的若干意见》（穗府〔2015〕19号）等文件精神，推进我市风险投资市场创新发展，打造风险投资之都，制定本办法。</w:t>
      </w:r>
    </w:p>
    <w:p>
      <w:pPr>
        <w:spacing w:line="575" w:lineRule="exact"/>
        <w:ind w:firstLine="643" w:firstLineChars="200"/>
        <w:rPr>
          <w:rFonts w:eastAsia="仿宋_GB2312"/>
          <w:b/>
          <w:bCs/>
          <w:sz w:val="32"/>
          <w:szCs w:val="32"/>
        </w:rPr>
      </w:pPr>
      <w:r>
        <w:rPr>
          <w:rFonts w:eastAsia="仿宋_GB2312"/>
          <w:b/>
          <w:bCs/>
          <w:sz w:val="32"/>
          <w:szCs w:val="32"/>
        </w:rPr>
        <w:t>第二条</w:t>
      </w:r>
      <w:r>
        <w:rPr>
          <w:rFonts w:eastAsia="仿宋_GB2312"/>
          <w:sz w:val="32"/>
          <w:szCs w:val="32"/>
        </w:rPr>
        <w:t xml:space="preserve"> 本办法适用于我市的风险投资类企业，包括股权投资企业、股权投资管理企业、创业投资企业、创业投资管理企业、私募证券投资管理企业。</w:t>
      </w:r>
    </w:p>
    <w:p>
      <w:pPr>
        <w:spacing w:line="575" w:lineRule="exact"/>
        <w:ind w:firstLine="640" w:firstLineChars="200"/>
        <w:rPr>
          <w:rFonts w:eastAsia="仿宋_GB2312"/>
          <w:sz w:val="32"/>
          <w:szCs w:val="32"/>
        </w:rPr>
      </w:pPr>
      <w:r>
        <w:rPr>
          <w:rFonts w:eastAsia="仿宋_GB2312"/>
          <w:sz w:val="32"/>
          <w:szCs w:val="32"/>
        </w:rPr>
        <w:t>股权投资企业是指以非公开方式向特定对象募集资金设立，对非公开交易的企业股权进行投资并提供增值服务的非证券类投资企业，企业名称可使用“股权投资”“股权投资基金”“产业投资基金”字样，经营范围为“股权投资”。</w:t>
      </w:r>
    </w:p>
    <w:p>
      <w:pPr>
        <w:spacing w:line="575" w:lineRule="exact"/>
        <w:ind w:firstLine="640" w:firstLineChars="200"/>
        <w:rPr>
          <w:rFonts w:eastAsia="仿宋_GB2312"/>
          <w:sz w:val="32"/>
          <w:szCs w:val="32"/>
        </w:rPr>
      </w:pPr>
      <w:r>
        <w:rPr>
          <w:rFonts w:eastAsia="仿宋_GB2312"/>
          <w:sz w:val="32"/>
          <w:szCs w:val="32"/>
        </w:rPr>
        <w:t>股权投资管理企业是指从事发起设立、受托管理股权投资企业的企业，企业名称可使用“股权投资管理”“股权投资基金管理”“产业投资基金管理”字样，经营范围为“股权投资管理、受托管理股权投资基金”。</w:t>
      </w:r>
    </w:p>
    <w:p>
      <w:pPr>
        <w:spacing w:line="575" w:lineRule="exact"/>
        <w:ind w:firstLine="640" w:firstLineChars="200"/>
        <w:rPr>
          <w:rFonts w:eastAsia="仿宋_GB2312"/>
          <w:sz w:val="32"/>
          <w:szCs w:val="32"/>
        </w:rPr>
      </w:pPr>
      <w:r>
        <w:rPr>
          <w:rFonts w:eastAsia="仿宋_GB2312"/>
          <w:sz w:val="32"/>
          <w:szCs w:val="32"/>
        </w:rPr>
        <w:t>创业投资企业是指对未上市的创业企业、成长性企业股权进行投资，待其发育成熟或相对成熟后通过股权转让等方式获得资本增值收益的非证券类投资企业，企业名称可使用“创业投资”“创业投资基金”字样，经营范围为“创业投资业务、代理其他创业投资企业等机构或个人的创业投资业务、创业投资咨询业务”。</w:t>
      </w:r>
    </w:p>
    <w:p>
      <w:pPr>
        <w:spacing w:line="575" w:lineRule="exact"/>
        <w:ind w:firstLine="640" w:firstLineChars="200"/>
        <w:rPr>
          <w:rFonts w:eastAsia="仿宋_GB2312"/>
          <w:sz w:val="32"/>
          <w:szCs w:val="32"/>
        </w:rPr>
      </w:pPr>
      <w:r>
        <w:rPr>
          <w:rFonts w:eastAsia="仿宋_GB2312"/>
          <w:sz w:val="32"/>
          <w:szCs w:val="32"/>
        </w:rPr>
        <w:t>创业投资管理企业是指从事发起设立、受托管理创业投资企业的企业，企业名称可使用“创业投资管理”“创业投资基金管理”字样，经营范围为“为创业企业提供创业管理服务业务、参与设立创业投资企业与创业投资管理顾问机构”。</w:t>
      </w:r>
    </w:p>
    <w:p>
      <w:pPr>
        <w:spacing w:line="575" w:lineRule="exact"/>
        <w:ind w:firstLine="640" w:firstLineChars="200"/>
        <w:rPr>
          <w:rFonts w:eastAsia="仿宋_GB2312"/>
          <w:b/>
          <w:bCs/>
          <w:sz w:val="32"/>
          <w:szCs w:val="32"/>
        </w:rPr>
      </w:pPr>
      <w:r>
        <w:rPr>
          <w:rFonts w:eastAsia="仿宋_GB2312"/>
          <w:sz w:val="32"/>
          <w:szCs w:val="32"/>
        </w:rPr>
        <w:t>私募证券投资管理企业是指从事以非公开方式募集资金投资股票、债券、期货等金融产品的证券类投资企业，企业名称中可使用“私募证券投资管理”“私募证券投资基金管理”字样，经营范围为“受托管理私募证券投资基金”。</w:t>
      </w:r>
    </w:p>
    <w:p>
      <w:pPr>
        <w:spacing w:before="93" w:beforeLines="30" w:after="93" w:afterLines="30" w:line="575" w:lineRule="exact"/>
        <w:jc w:val="center"/>
        <w:rPr>
          <w:rFonts w:eastAsia="黑体"/>
          <w:sz w:val="32"/>
          <w:szCs w:val="32"/>
        </w:rPr>
      </w:pPr>
      <w:r>
        <w:rPr>
          <w:rFonts w:hint="eastAsia" w:eastAsia="黑体"/>
          <w:sz w:val="32"/>
          <w:szCs w:val="32"/>
        </w:rPr>
        <w:t>第二章 风险投资市场的行业管理</w:t>
      </w:r>
    </w:p>
    <w:p>
      <w:pPr>
        <w:spacing w:line="575" w:lineRule="exact"/>
        <w:ind w:firstLine="643" w:firstLineChars="200"/>
        <w:rPr>
          <w:rFonts w:eastAsia="仿宋_GB2312"/>
          <w:b/>
          <w:bCs/>
          <w:sz w:val="32"/>
          <w:szCs w:val="32"/>
        </w:rPr>
      </w:pPr>
      <w:r>
        <w:rPr>
          <w:rFonts w:eastAsia="仿宋_GB2312"/>
          <w:b/>
          <w:bCs/>
          <w:sz w:val="32"/>
          <w:szCs w:val="32"/>
        </w:rPr>
        <w:t>第三条</w:t>
      </w:r>
      <w:r>
        <w:rPr>
          <w:rFonts w:eastAsia="仿宋_GB2312"/>
          <w:sz w:val="32"/>
          <w:szCs w:val="32"/>
        </w:rPr>
        <w:t xml:space="preserve"> 在我市设立风险投资类企业不设行业准入审批。风险投资类企业在我市市场监管部门办理注册登记手续后，应按国家相关规定完成私募基金管理人登记及私募产品备案、创业投资企业备案、政府出资产业投资基金信用信息登记等相关登记备案手续。</w:t>
      </w:r>
    </w:p>
    <w:p>
      <w:pPr>
        <w:spacing w:line="575" w:lineRule="exact"/>
        <w:ind w:firstLine="643" w:firstLineChars="200"/>
        <w:rPr>
          <w:rFonts w:eastAsia="仿宋_GB2312"/>
          <w:sz w:val="32"/>
          <w:szCs w:val="32"/>
        </w:rPr>
      </w:pPr>
      <w:r>
        <w:rPr>
          <w:rFonts w:eastAsia="仿宋_GB2312"/>
          <w:b/>
          <w:bCs/>
          <w:sz w:val="32"/>
          <w:szCs w:val="32"/>
        </w:rPr>
        <w:t>第四条</w:t>
      </w:r>
      <w:r>
        <w:rPr>
          <w:rFonts w:eastAsia="仿宋_GB2312"/>
          <w:sz w:val="32"/>
          <w:szCs w:val="32"/>
        </w:rPr>
        <w:t xml:space="preserve"> 市地方金融监管局负责培育和促进我市风险投资市场规范发展。市发展改革委负责推动我市创业投资发展，承担创业投资企业备案工作，组织做好市政府出资产业投资基金信用信息登记工作。市科技局负责利用风险投资促进我市科技发展、创新创业。</w:t>
      </w:r>
    </w:p>
    <w:p>
      <w:pPr>
        <w:spacing w:line="575" w:lineRule="exact"/>
        <w:ind w:firstLine="643" w:firstLineChars="200"/>
        <w:rPr>
          <w:rFonts w:eastAsia="仿宋_GB2312"/>
          <w:sz w:val="32"/>
          <w:szCs w:val="32"/>
        </w:rPr>
      </w:pPr>
      <w:r>
        <w:rPr>
          <w:rFonts w:eastAsia="仿宋_GB2312"/>
          <w:b/>
          <w:bCs/>
          <w:sz w:val="32"/>
          <w:szCs w:val="32"/>
        </w:rPr>
        <w:t>第五条</w:t>
      </w:r>
      <w:r>
        <w:rPr>
          <w:rFonts w:eastAsia="仿宋_GB2312"/>
          <w:sz w:val="32"/>
          <w:szCs w:val="32"/>
        </w:rPr>
        <w:t xml:space="preserve"> 我市风险投资市场实行行业自律管理。鼓励风险投资类企业加入广州私募基金协会、广州创业与风险投资协会（以下统称行业组织），接受行业组织的行业自律管理。风险投资类企业接受行业自律管理的相关信息，由市地方金融监管局负责通过广州市商事主体信息公示平台向社会公众公示。行业组织接受市地方金融监管局、市发展改革委的业务指导。</w:t>
      </w:r>
    </w:p>
    <w:p>
      <w:pPr>
        <w:spacing w:line="575" w:lineRule="exact"/>
        <w:ind w:firstLine="643" w:firstLineChars="200"/>
        <w:rPr>
          <w:rFonts w:eastAsia="仿宋_GB2312"/>
          <w:b/>
          <w:bCs/>
          <w:sz w:val="32"/>
          <w:szCs w:val="32"/>
        </w:rPr>
      </w:pPr>
      <w:r>
        <w:rPr>
          <w:rFonts w:eastAsia="仿宋_GB2312"/>
          <w:b/>
          <w:bCs/>
          <w:sz w:val="32"/>
          <w:szCs w:val="32"/>
        </w:rPr>
        <w:t>第六条</w:t>
      </w:r>
      <w:r>
        <w:rPr>
          <w:rFonts w:eastAsia="仿宋_GB2312"/>
          <w:sz w:val="32"/>
          <w:szCs w:val="32"/>
        </w:rPr>
        <w:t xml:space="preserve"> 行业组织负责制定并组织实施我市风险投资行业自律管理措施，依法维护会员权益，指导会员规范经营、健康发展。鼓励行业组织每年对风险投资类企业开展风险调查、评估工作，对发现的风险隐患，及时指导企业整改，并向市相关部门报告。</w:t>
      </w:r>
    </w:p>
    <w:p>
      <w:pPr>
        <w:spacing w:line="575" w:lineRule="exact"/>
        <w:ind w:firstLine="643" w:firstLineChars="200"/>
        <w:rPr>
          <w:rFonts w:eastAsia="仿宋_GB2312"/>
          <w:b/>
          <w:bCs/>
          <w:sz w:val="32"/>
          <w:szCs w:val="32"/>
        </w:rPr>
      </w:pPr>
      <w:r>
        <w:rPr>
          <w:rFonts w:eastAsia="仿宋_GB2312"/>
          <w:b/>
          <w:bCs/>
          <w:sz w:val="32"/>
          <w:szCs w:val="32"/>
        </w:rPr>
        <w:t>第七条</w:t>
      </w:r>
      <w:r>
        <w:rPr>
          <w:rFonts w:eastAsia="仿宋_GB2312"/>
          <w:sz w:val="32"/>
          <w:szCs w:val="32"/>
        </w:rPr>
        <w:t xml:space="preserve"> 市地方金融监管局负责指导风险投资类企业接入广州金融风险监测防控中心（以下简称监控中心）。监控中心对投资者资金进行安全监测，对投资协议、合同等进行存证，引导风险投资类企业在资金募集、开展投资、项目退出等方面规范运作，并根据监测情况对风险投资类企业进行评估。监控中心由市地方金融监管局负责建设和监管，相关管理办法另行制定。</w:t>
      </w:r>
    </w:p>
    <w:p>
      <w:pPr>
        <w:spacing w:line="575" w:lineRule="exact"/>
        <w:ind w:firstLine="643" w:firstLineChars="200"/>
        <w:rPr>
          <w:rFonts w:eastAsia="仿宋_GB2312"/>
          <w:sz w:val="32"/>
          <w:szCs w:val="32"/>
        </w:rPr>
      </w:pPr>
      <w:r>
        <w:rPr>
          <w:rFonts w:eastAsia="仿宋_GB2312"/>
          <w:b/>
          <w:bCs/>
          <w:sz w:val="32"/>
          <w:szCs w:val="32"/>
        </w:rPr>
        <w:t>第八条</w:t>
      </w:r>
      <w:r>
        <w:rPr>
          <w:rFonts w:eastAsia="仿宋_GB2312"/>
          <w:sz w:val="32"/>
          <w:szCs w:val="32"/>
        </w:rPr>
        <w:t xml:space="preserve"> 市相关部门要根据职能分工，积极主动做好风险防范工作，依法打击利用风险投资、股权投资、私募基金等名义进行的各类非法集资、诈骗活动，维护我市金融秩序稳定。</w:t>
      </w:r>
    </w:p>
    <w:p>
      <w:pPr>
        <w:spacing w:before="93" w:beforeLines="30" w:after="93" w:afterLines="30" w:line="575" w:lineRule="exact"/>
        <w:jc w:val="center"/>
        <w:rPr>
          <w:rFonts w:eastAsia="黑体"/>
          <w:sz w:val="32"/>
          <w:szCs w:val="32"/>
        </w:rPr>
      </w:pPr>
      <w:r>
        <w:rPr>
          <w:rFonts w:hint="eastAsia" w:eastAsia="黑体"/>
          <w:sz w:val="32"/>
          <w:szCs w:val="32"/>
        </w:rPr>
        <w:t>第三章 风险投资市场的扶持政策</w:t>
      </w:r>
    </w:p>
    <w:p>
      <w:pPr>
        <w:spacing w:line="575" w:lineRule="exact"/>
        <w:ind w:firstLine="643" w:firstLineChars="200"/>
        <w:rPr>
          <w:rFonts w:eastAsia="仿宋_GB2312"/>
          <w:sz w:val="32"/>
          <w:szCs w:val="32"/>
        </w:rPr>
      </w:pPr>
      <w:r>
        <w:rPr>
          <w:rFonts w:eastAsia="仿宋_GB2312"/>
          <w:b/>
          <w:bCs/>
          <w:sz w:val="32"/>
          <w:szCs w:val="32"/>
        </w:rPr>
        <w:t>第九条</w:t>
      </w:r>
      <w:r>
        <w:rPr>
          <w:rFonts w:eastAsia="仿宋_GB2312"/>
          <w:sz w:val="32"/>
          <w:szCs w:val="32"/>
        </w:rPr>
        <w:t xml:space="preserve"> 满足以下条件的公司制股权投资管理企业、创业投资管理企业、私募证券投资管理企业，可享受本办法规定的相关扶持奖励政策：</w:t>
      </w:r>
    </w:p>
    <w:p>
      <w:pPr>
        <w:spacing w:line="575" w:lineRule="exact"/>
        <w:ind w:firstLine="640" w:firstLineChars="200"/>
        <w:rPr>
          <w:rFonts w:eastAsia="仿宋_GB2312"/>
          <w:sz w:val="32"/>
          <w:szCs w:val="32"/>
        </w:rPr>
      </w:pPr>
      <w:r>
        <w:rPr>
          <w:rFonts w:eastAsia="仿宋_GB2312"/>
          <w:sz w:val="32"/>
          <w:szCs w:val="32"/>
        </w:rPr>
        <w:t>（一）满足《广州市人民政府关于印发支持广州区域金融中心建设若干规定的通知》关于适用企业的有关规定；</w:t>
      </w:r>
    </w:p>
    <w:p>
      <w:pPr>
        <w:spacing w:line="575" w:lineRule="exact"/>
        <w:ind w:firstLine="640" w:firstLineChars="200"/>
        <w:rPr>
          <w:rFonts w:eastAsia="仿宋_GB2312"/>
          <w:sz w:val="32"/>
          <w:szCs w:val="32"/>
        </w:rPr>
      </w:pPr>
      <w:r>
        <w:rPr>
          <w:rFonts w:eastAsia="仿宋_GB2312"/>
          <w:sz w:val="32"/>
          <w:szCs w:val="32"/>
        </w:rPr>
        <w:t>（二）按国家相关规定完成登记备案手续；</w:t>
      </w:r>
    </w:p>
    <w:p>
      <w:pPr>
        <w:spacing w:line="575" w:lineRule="exact"/>
        <w:ind w:firstLine="640" w:firstLineChars="200"/>
        <w:rPr>
          <w:rFonts w:eastAsia="仿宋_GB2312"/>
          <w:sz w:val="32"/>
          <w:szCs w:val="32"/>
        </w:rPr>
      </w:pPr>
      <w:r>
        <w:rPr>
          <w:rFonts w:eastAsia="仿宋_GB2312"/>
          <w:sz w:val="32"/>
          <w:szCs w:val="32"/>
        </w:rPr>
        <w:t>（三）加入行业组织，接受行业自律管理；</w:t>
      </w:r>
    </w:p>
    <w:p>
      <w:pPr>
        <w:spacing w:line="575" w:lineRule="exact"/>
        <w:ind w:firstLine="640" w:firstLineChars="200"/>
        <w:rPr>
          <w:rFonts w:eastAsia="仿宋_GB2312"/>
          <w:sz w:val="32"/>
          <w:szCs w:val="32"/>
        </w:rPr>
      </w:pPr>
      <w:r>
        <w:rPr>
          <w:rFonts w:eastAsia="仿宋_GB2312"/>
          <w:sz w:val="32"/>
          <w:szCs w:val="32"/>
        </w:rPr>
        <w:t>（四）接入监控中心，资金募集、开展投资、项目退出情况及投资协议、合同等在监控中心可查；</w:t>
      </w:r>
    </w:p>
    <w:p>
      <w:pPr>
        <w:spacing w:line="575" w:lineRule="exact"/>
        <w:ind w:firstLine="640" w:firstLineChars="200"/>
        <w:rPr>
          <w:rFonts w:eastAsia="仿宋_GB2312"/>
          <w:sz w:val="32"/>
          <w:szCs w:val="32"/>
        </w:rPr>
      </w:pPr>
      <w:r>
        <w:rPr>
          <w:rFonts w:eastAsia="仿宋_GB2312"/>
          <w:sz w:val="32"/>
          <w:szCs w:val="32"/>
        </w:rPr>
        <w:t>（五）第十条、第十二条所称受托管理的股权投资企业、创业投资企业需满足以下条件：</w:t>
      </w:r>
    </w:p>
    <w:p>
      <w:pPr>
        <w:spacing w:line="575" w:lineRule="exact"/>
        <w:ind w:firstLine="640" w:firstLineChars="200"/>
        <w:rPr>
          <w:rFonts w:eastAsia="仿宋_GB2312"/>
          <w:sz w:val="32"/>
          <w:szCs w:val="32"/>
        </w:rPr>
      </w:pPr>
      <w:r>
        <w:rPr>
          <w:rFonts w:eastAsia="仿宋_GB2312"/>
          <w:sz w:val="32"/>
          <w:szCs w:val="32"/>
        </w:rPr>
        <w:t>1.满足《广州市人民政府关于印发支持广州区域金融中心建设若干规定的通知》关于适用企业的有关规定；</w:t>
      </w:r>
    </w:p>
    <w:p>
      <w:pPr>
        <w:spacing w:line="575" w:lineRule="exact"/>
        <w:ind w:firstLine="640" w:firstLineChars="200"/>
        <w:rPr>
          <w:rFonts w:eastAsia="仿宋_GB2312"/>
          <w:sz w:val="32"/>
          <w:szCs w:val="32"/>
        </w:rPr>
      </w:pPr>
      <w:r>
        <w:rPr>
          <w:rFonts w:eastAsia="仿宋_GB2312"/>
          <w:sz w:val="32"/>
          <w:szCs w:val="32"/>
        </w:rPr>
        <w:t>2.按国家规定完成相关登记备案手续；</w:t>
      </w:r>
    </w:p>
    <w:p>
      <w:pPr>
        <w:spacing w:line="575" w:lineRule="exact"/>
        <w:ind w:firstLine="640" w:firstLineChars="200"/>
        <w:rPr>
          <w:rFonts w:eastAsia="仿宋_GB2312"/>
          <w:sz w:val="32"/>
          <w:szCs w:val="32"/>
        </w:rPr>
      </w:pPr>
      <w:r>
        <w:rPr>
          <w:rFonts w:eastAsia="仿宋_GB2312"/>
          <w:sz w:val="32"/>
          <w:szCs w:val="32"/>
        </w:rPr>
        <w:t>3.股权（股份、合伙企业财产份额）在广东股权交易中心等资本市场服务平台登记托管。</w:t>
      </w:r>
    </w:p>
    <w:p>
      <w:pPr>
        <w:spacing w:line="575" w:lineRule="exact"/>
        <w:ind w:firstLine="643" w:firstLineChars="200"/>
        <w:rPr>
          <w:rFonts w:eastAsia="仿宋_GB2312"/>
          <w:sz w:val="32"/>
          <w:szCs w:val="32"/>
        </w:rPr>
      </w:pPr>
      <w:r>
        <w:rPr>
          <w:rFonts w:eastAsia="仿宋_GB2312"/>
          <w:b/>
          <w:bCs/>
          <w:sz w:val="32"/>
          <w:szCs w:val="32"/>
        </w:rPr>
        <w:t>第十条</w:t>
      </w:r>
      <w:r>
        <w:rPr>
          <w:rFonts w:eastAsia="仿宋_GB2312"/>
          <w:sz w:val="32"/>
          <w:szCs w:val="32"/>
        </w:rPr>
        <w:t xml:space="preserve"> 股权投资管理企业、创业投资管理企业管理能力奖励：</w:t>
      </w:r>
    </w:p>
    <w:p>
      <w:pPr>
        <w:spacing w:line="575" w:lineRule="exact"/>
        <w:ind w:firstLine="640" w:firstLineChars="200"/>
        <w:rPr>
          <w:rFonts w:eastAsia="仿宋_GB2312"/>
          <w:sz w:val="32"/>
          <w:szCs w:val="32"/>
        </w:rPr>
      </w:pPr>
      <w:r>
        <w:rPr>
          <w:rFonts w:eastAsia="仿宋_GB2312"/>
          <w:sz w:val="32"/>
          <w:szCs w:val="32"/>
        </w:rPr>
        <w:t>（一）根据所有受托管理的公司制股权投资企业、创业投资企业实收资本合计规模，给予管理能力奖励：实收资本合计规模达到3亿元人民币或等值外币的，奖励300万元；实收资本合计规模达到5亿元人民币或等值外币的，奖励500万元；实收资本合计规模达到15亿元人民币或等值外币的，奖励1000万元；实收资本合计规模达到30亿元人民币或等值外币及以上的，奖励1500万元。</w:t>
      </w:r>
    </w:p>
    <w:p>
      <w:pPr>
        <w:spacing w:line="575" w:lineRule="exact"/>
        <w:ind w:firstLine="640" w:firstLineChars="200"/>
        <w:rPr>
          <w:rFonts w:eastAsia="仿宋_GB2312"/>
          <w:sz w:val="32"/>
          <w:szCs w:val="32"/>
        </w:rPr>
      </w:pPr>
      <w:r>
        <w:rPr>
          <w:rFonts w:eastAsia="仿宋_GB2312"/>
          <w:sz w:val="32"/>
          <w:szCs w:val="32"/>
        </w:rPr>
        <w:t>（二）根据所有受托管理的合伙制股权投资企业、创业投资企业实缴出资额合计规模，给予管理能力奖励：管理资金达到5亿元人民币或等值外币的，奖励300万元；管理资金达到10亿元人民币或等值外币的，奖励500万元；管理资金达到30亿元人民币或等值外币的，奖励1000万元；管理资金达到50亿元人民币或等值外币及以上的，奖励1500万元。</w:t>
      </w:r>
    </w:p>
    <w:p>
      <w:pPr>
        <w:spacing w:line="575" w:lineRule="exact"/>
        <w:ind w:firstLine="640" w:firstLineChars="200"/>
        <w:rPr>
          <w:rFonts w:eastAsia="仿宋_GB2312"/>
          <w:sz w:val="32"/>
          <w:szCs w:val="32"/>
        </w:rPr>
      </w:pPr>
      <w:r>
        <w:rPr>
          <w:rFonts w:eastAsia="仿宋_GB2312"/>
          <w:sz w:val="32"/>
          <w:szCs w:val="32"/>
        </w:rPr>
        <w:t>同一股权投资管理企业、创业投资管理企业获得的管理能力奖励，累计最高不超过1500万元。</w:t>
      </w:r>
    </w:p>
    <w:p>
      <w:pPr>
        <w:spacing w:line="575" w:lineRule="exact"/>
        <w:ind w:firstLine="640" w:firstLineChars="200"/>
        <w:rPr>
          <w:rFonts w:eastAsia="仿宋_GB2312"/>
          <w:sz w:val="32"/>
          <w:szCs w:val="32"/>
        </w:rPr>
      </w:pPr>
      <w:r>
        <w:rPr>
          <w:rFonts w:eastAsia="仿宋_GB2312"/>
          <w:sz w:val="32"/>
          <w:szCs w:val="32"/>
        </w:rPr>
        <w:t>在计算受托管理的股权投资企业、创业投资企业实收资本或实缴出资额时，投向房地产、二级市场股票、上市公司定向增发等领域以及以股权投资名义从事债权业务等部分不予计算。</w:t>
      </w:r>
    </w:p>
    <w:p>
      <w:pPr>
        <w:spacing w:line="575" w:lineRule="exact"/>
        <w:ind w:firstLine="643" w:firstLineChars="200"/>
        <w:rPr>
          <w:rFonts w:eastAsia="仿宋_GB2312"/>
          <w:sz w:val="32"/>
          <w:szCs w:val="32"/>
        </w:rPr>
      </w:pPr>
      <w:r>
        <w:rPr>
          <w:rFonts w:eastAsia="仿宋_GB2312"/>
          <w:b/>
          <w:bCs/>
          <w:sz w:val="32"/>
          <w:szCs w:val="32"/>
        </w:rPr>
        <w:t>第十一条</w:t>
      </w:r>
      <w:r>
        <w:rPr>
          <w:rFonts w:eastAsia="仿宋_GB2312"/>
          <w:sz w:val="32"/>
          <w:szCs w:val="32"/>
        </w:rPr>
        <w:t xml:space="preserve"> 私募证券投资管理企业管理能力奖励：</w:t>
      </w:r>
    </w:p>
    <w:p>
      <w:pPr>
        <w:spacing w:line="575" w:lineRule="exact"/>
        <w:ind w:firstLine="640" w:firstLineChars="200"/>
        <w:rPr>
          <w:rFonts w:eastAsia="仿宋_GB2312"/>
          <w:sz w:val="32"/>
          <w:szCs w:val="32"/>
        </w:rPr>
      </w:pPr>
      <w:r>
        <w:rPr>
          <w:rFonts w:eastAsia="仿宋_GB2312"/>
          <w:sz w:val="32"/>
          <w:szCs w:val="32"/>
        </w:rPr>
        <w:t>根据所有受托管理并已按国家规定完成登记备案手续的私募证券投资基金实际规模，给予管理能力奖励：管理资金达到100亿元人民币或等值外币的，奖励300万元；管理资金达到500亿元人民币或等值外币及以上的，奖励500万元。</w:t>
      </w:r>
    </w:p>
    <w:p>
      <w:pPr>
        <w:spacing w:line="575" w:lineRule="exact"/>
        <w:ind w:firstLine="640" w:firstLineChars="200"/>
        <w:rPr>
          <w:rFonts w:eastAsia="仿宋_GB2312"/>
          <w:b/>
          <w:bCs/>
          <w:sz w:val="32"/>
          <w:szCs w:val="32"/>
        </w:rPr>
      </w:pPr>
      <w:r>
        <w:rPr>
          <w:rFonts w:eastAsia="仿宋_GB2312"/>
          <w:sz w:val="32"/>
          <w:szCs w:val="32"/>
        </w:rPr>
        <w:t>同一私募证券投资管理企业获得的管理能力奖励，累计最高不超过500万元。</w:t>
      </w:r>
    </w:p>
    <w:p>
      <w:pPr>
        <w:spacing w:line="575" w:lineRule="exact"/>
        <w:ind w:firstLine="643" w:firstLineChars="200"/>
        <w:rPr>
          <w:rFonts w:eastAsia="仿宋_GB2312"/>
          <w:sz w:val="32"/>
          <w:szCs w:val="32"/>
        </w:rPr>
      </w:pPr>
      <w:r>
        <w:rPr>
          <w:rFonts w:eastAsia="仿宋_GB2312"/>
          <w:b/>
          <w:bCs/>
          <w:sz w:val="32"/>
          <w:szCs w:val="32"/>
        </w:rPr>
        <w:t>第十二条</w:t>
      </w:r>
      <w:r>
        <w:rPr>
          <w:rFonts w:eastAsia="仿宋_GB2312"/>
          <w:sz w:val="32"/>
          <w:szCs w:val="32"/>
        </w:rPr>
        <w:t xml:space="preserve"> 享受奖励的风险投资类企业应满足《广州市人民政府关于印发支持广州区域金融中心建设若干规定的通知》第十四条有关规定，如有违反应退回已获得的奖励资金。对于存在弄虚作假、骗取奖励资金情形的风险投资类企业，由市地方金融监管局收回奖励资金，取消其享受我市各类金融扶持政策资格，列入监控中心重点监测企业名单，依法惩戒失信企业，涉嫌违法犯罪的，依法移交司法机关处理。</w:t>
      </w:r>
    </w:p>
    <w:p>
      <w:pPr>
        <w:spacing w:line="575" w:lineRule="exact"/>
        <w:ind w:firstLine="643" w:firstLineChars="200"/>
        <w:rPr>
          <w:rFonts w:eastAsia="仿宋_GB2312"/>
          <w:b/>
          <w:bCs/>
          <w:sz w:val="32"/>
          <w:szCs w:val="32"/>
        </w:rPr>
      </w:pPr>
      <w:r>
        <w:rPr>
          <w:rFonts w:eastAsia="仿宋_GB2312"/>
          <w:b/>
          <w:bCs/>
          <w:sz w:val="32"/>
          <w:szCs w:val="32"/>
        </w:rPr>
        <w:t xml:space="preserve">第十三条 </w:t>
      </w:r>
      <w:r>
        <w:rPr>
          <w:rFonts w:eastAsia="仿宋_GB2312"/>
          <w:sz w:val="32"/>
          <w:szCs w:val="32"/>
        </w:rPr>
        <w:t>本办法所涉及的有关奖励经费，纳入广州市金融发展专项资金中统筹安排，按该专项资金相关管理办法执行。</w:t>
      </w:r>
    </w:p>
    <w:p>
      <w:pPr>
        <w:spacing w:before="93" w:beforeLines="30" w:after="93" w:afterLines="30" w:line="575" w:lineRule="exact"/>
        <w:jc w:val="center"/>
        <w:rPr>
          <w:rFonts w:eastAsia="黑体"/>
          <w:sz w:val="32"/>
          <w:szCs w:val="32"/>
        </w:rPr>
      </w:pPr>
      <w:r>
        <w:rPr>
          <w:rFonts w:hint="eastAsia" w:eastAsia="黑体"/>
          <w:sz w:val="32"/>
          <w:szCs w:val="32"/>
        </w:rPr>
        <w:t>第四章 营造良好风险投资市场环境</w:t>
      </w:r>
    </w:p>
    <w:p>
      <w:pPr>
        <w:spacing w:line="575" w:lineRule="exact"/>
        <w:ind w:firstLine="643" w:firstLineChars="200"/>
        <w:rPr>
          <w:rFonts w:eastAsia="仿宋_GB2312"/>
          <w:sz w:val="32"/>
          <w:szCs w:val="32"/>
        </w:rPr>
      </w:pPr>
      <w:r>
        <w:rPr>
          <w:rFonts w:eastAsia="仿宋_GB2312"/>
          <w:b/>
          <w:bCs/>
          <w:sz w:val="32"/>
          <w:szCs w:val="32"/>
        </w:rPr>
        <w:t xml:space="preserve">第十四条 </w:t>
      </w:r>
      <w:r>
        <w:rPr>
          <w:rFonts w:eastAsia="仿宋_GB2312"/>
          <w:sz w:val="32"/>
          <w:szCs w:val="32"/>
        </w:rPr>
        <w:t>市相关部门要进一步优化服务，形成有利于风险投资类企业集聚和健康有序发展的市场环境。</w:t>
      </w:r>
    </w:p>
    <w:p>
      <w:pPr>
        <w:spacing w:line="575" w:lineRule="exact"/>
        <w:ind w:firstLine="643" w:firstLineChars="200"/>
        <w:rPr>
          <w:rFonts w:eastAsia="仿宋_GB2312"/>
          <w:sz w:val="32"/>
          <w:szCs w:val="32"/>
        </w:rPr>
      </w:pPr>
      <w:r>
        <w:rPr>
          <w:rFonts w:eastAsia="仿宋_GB2312"/>
          <w:b/>
          <w:bCs/>
          <w:sz w:val="32"/>
          <w:szCs w:val="32"/>
        </w:rPr>
        <w:t>第十五条</w:t>
      </w:r>
      <w:r>
        <w:rPr>
          <w:rFonts w:eastAsia="仿宋_GB2312"/>
          <w:sz w:val="32"/>
          <w:szCs w:val="32"/>
        </w:rPr>
        <w:t xml:space="preserve"> 在条件成熟的区建设风险投资大厦，市、区两级财政对入驻大厦的风险投资类企业给予购置租赁办公用房补贴，相关补贴政策另行制定。</w:t>
      </w:r>
    </w:p>
    <w:p>
      <w:pPr>
        <w:spacing w:line="575" w:lineRule="exact"/>
        <w:ind w:firstLine="643" w:firstLineChars="200"/>
        <w:rPr>
          <w:rFonts w:eastAsia="仿宋_GB2312"/>
          <w:sz w:val="32"/>
          <w:szCs w:val="32"/>
        </w:rPr>
      </w:pPr>
      <w:r>
        <w:rPr>
          <w:rFonts w:eastAsia="仿宋_GB2312"/>
          <w:b/>
          <w:bCs/>
          <w:sz w:val="32"/>
          <w:szCs w:val="32"/>
        </w:rPr>
        <w:t>第十六条</w:t>
      </w:r>
      <w:r>
        <w:rPr>
          <w:rFonts w:eastAsia="仿宋_GB2312"/>
          <w:sz w:val="32"/>
          <w:szCs w:val="32"/>
        </w:rPr>
        <w:t xml:space="preserve"> 有条件的区政府要结合本区实际，积极推进基金小镇、财富小镇、创投小镇等专业小镇建设，提供全方位“一站式”政务服务，研究制定购置租赁办公用房补贴、人才公寓、专项扶持奖励等相关配套政策，吸引风险投资类企业入驻，打造风险投资类企业集聚发展平台。</w:t>
      </w:r>
    </w:p>
    <w:p>
      <w:pPr>
        <w:spacing w:line="575" w:lineRule="exact"/>
        <w:ind w:firstLine="643" w:firstLineChars="200"/>
        <w:rPr>
          <w:rFonts w:eastAsia="仿宋_GB2312"/>
          <w:b/>
          <w:bCs/>
          <w:sz w:val="32"/>
          <w:szCs w:val="32"/>
        </w:rPr>
      </w:pPr>
      <w:r>
        <w:rPr>
          <w:rFonts w:eastAsia="仿宋_GB2312"/>
          <w:b/>
          <w:bCs/>
          <w:sz w:val="32"/>
          <w:szCs w:val="32"/>
        </w:rPr>
        <w:t>第十七条</w:t>
      </w:r>
      <w:r>
        <w:rPr>
          <w:rFonts w:eastAsia="仿宋_GB2312"/>
          <w:sz w:val="32"/>
          <w:szCs w:val="32"/>
        </w:rPr>
        <w:t xml:space="preserve"> 支持广东股权交易中心等资本市场服务平台开展合伙企业有限合伙人财产份额质押融资试点和风险投资退出平台建设，为风险投资类企业提供投资者财产份额登记、托管和质押融资、投资退出等服务。</w:t>
      </w:r>
    </w:p>
    <w:p>
      <w:pPr>
        <w:spacing w:line="575" w:lineRule="exact"/>
        <w:ind w:firstLine="643" w:firstLineChars="200"/>
        <w:rPr>
          <w:rFonts w:eastAsia="仿宋_GB2312"/>
          <w:b/>
          <w:bCs/>
          <w:sz w:val="32"/>
          <w:szCs w:val="32"/>
        </w:rPr>
      </w:pPr>
      <w:r>
        <w:rPr>
          <w:rFonts w:eastAsia="仿宋_GB2312"/>
          <w:b/>
          <w:bCs/>
          <w:sz w:val="32"/>
          <w:szCs w:val="32"/>
        </w:rPr>
        <w:t>第十八条</w:t>
      </w:r>
      <w:r>
        <w:rPr>
          <w:rFonts w:eastAsia="仿宋_GB2312"/>
          <w:sz w:val="32"/>
          <w:szCs w:val="32"/>
        </w:rPr>
        <w:t xml:space="preserve"> 鼓励境外机构在我市设立风险投资类企业。我市股权投资管理企业、创业投资管理企业与境外投资者可在我市发起设立注册资本或认缴出资币种为外币的股权投资企业、创业投资企业，在境内投资项目真实、合规的前提下，可按实际投资规模将外汇资本金直接结汇，用于境内股权投资、创业投资。</w:t>
      </w:r>
    </w:p>
    <w:p>
      <w:pPr>
        <w:spacing w:line="575" w:lineRule="exact"/>
        <w:ind w:firstLine="643" w:firstLineChars="200"/>
        <w:rPr>
          <w:rFonts w:eastAsia="仿宋_GB2312"/>
          <w:b/>
          <w:bCs/>
          <w:sz w:val="32"/>
          <w:szCs w:val="32"/>
        </w:rPr>
      </w:pPr>
      <w:r>
        <w:rPr>
          <w:rFonts w:eastAsia="仿宋_GB2312"/>
          <w:b/>
          <w:bCs/>
          <w:sz w:val="32"/>
          <w:szCs w:val="32"/>
        </w:rPr>
        <w:t>第十九条</w:t>
      </w:r>
      <w:r>
        <w:rPr>
          <w:rFonts w:eastAsia="仿宋_GB2312"/>
          <w:sz w:val="32"/>
          <w:szCs w:val="32"/>
        </w:rPr>
        <w:t xml:space="preserve"> 支持风险投资类企业按相关规定申报广州市高层次金融人才、广州市人才绿卡，享受人才落户、购房购车、子女入学等方面的优惠待遇，吸引风险投资领域人才在我市集聚发展。</w:t>
      </w:r>
    </w:p>
    <w:p>
      <w:pPr>
        <w:spacing w:before="93" w:beforeLines="30" w:after="93" w:afterLines="30" w:line="575" w:lineRule="exact"/>
        <w:jc w:val="center"/>
        <w:rPr>
          <w:rFonts w:eastAsia="黑体"/>
          <w:sz w:val="32"/>
          <w:szCs w:val="32"/>
        </w:rPr>
      </w:pPr>
      <w:r>
        <w:rPr>
          <w:rFonts w:hint="eastAsia" w:eastAsia="黑体"/>
          <w:sz w:val="32"/>
          <w:szCs w:val="32"/>
        </w:rPr>
        <w:t>第五章 附则</w:t>
      </w:r>
    </w:p>
    <w:p>
      <w:pPr>
        <w:spacing w:line="575" w:lineRule="exact"/>
        <w:ind w:firstLine="643" w:firstLineChars="200"/>
        <w:rPr>
          <w:rFonts w:eastAsia="仿宋_GB2312"/>
          <w:sz w:val="32"/>
          <w:szCs w:val="32"/>
        </w:rPr>
      </w:pPr>
      <w:r>
        <w:rPr>
          <w:rFonts w:eastAsia="仿宋_GB2312"/>
          <w:b/>
          <w:bCs/>
          <w:sz w:val="32"/>
          <w:szCs w:val="32"/>
        </w:rPr>
        <w:t>第二十条</w:t>
      </w:r>
      <w:r>
        <w:rPr>
          <w:rFonts w:eastAsia="仿宋_GB2312"/>
          <w:sz w:val="32"/>
          <w:szCs w:val="32"/>
        </w:rPr>
        <w:t xml:space="preserve"> 本办法自印发之日起施行，有效期5年。《广州市人民政府办公厅关于印发广州市风险投资市场规范发展管理办法的通知》（穗府办规〔2017〕17号）同时废止。</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638F0F6-0570-4268-BF75-7E230411AA7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BABACD5A-4A98-4941-B52A-005809FFA16C}"/>
  </w:font>
  <w:font w:name="方正小标宋_GBK">
    <w:panose1 w:val="03000509000000000000"/>
    <w:charset w:val="86"/>
    <w:family w:val="script"/>
    <w:pitch w:val="default"/>
    <w:sig w:usb0="00000001" w:usb1="080E0000" w:usb2="00000000" w:usb3="00000000" w:csb0="00040000" w:csb1="00000000"/>
    <w:embedRegular r:id="rId3" w:fontKey="{395CD83A-94F0-459E-A8FA-4C436CBF5E4B}"/>
  </w:font>
  <w:font w:name="仿宋_GB2312">
    <w:panose1 w:val="02010609030101010101"/>
    <w:charset w:val="86"/>
    <w:family w:val="modern"/>
    <w:pitch w:val="default"/>
    <w:sig w:usb0="00000001" w:usb1="080E0000" w:usb2="00000000" w:usb3="00000000" w:csb0="00040000" w:csb1="00000000"/>
    <w:embedRegular r:id="rId4" w:fontKey="{C703C572-2348-426F-9440-8BAE2302798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M1MjdjNDRhZWY2MGZiYTIwNmExZTQzZWNjODQzYTAifQ=="/>
    <w:docVar w:name="KSO_WPS_MARK_KEY" w:val="96b6ee81-fa45-487f-aa9d-9f751ed9c83e"/>
  </w:docVars>
  <w:rsids>
    <w:rsidRoot w:val="009D7C38"/>
    <w:rsid w:val="003572B4"/>
    <w:rsid w:val="009D7C38"/>
    <w:rsid w:val="00AA7F2F"/>
    <w:rsid w:val="00CF1CC6"/>
    <w:rsid w:val="382543CA"/>
    <w:rsid w:val="3BB72866"/>
    <w:rsid w:val="77F81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toc 2"/>
    <w:basedOn w:val="1"/>
    <w:next w:val="1"/>
    <w:unhideWhenUsed/>
    <w:qFormat/>
    <w:uiPriority w:val="39"/>
    <w:pPr>
      <w:ind w:left="200" w:leftChars="200"/>
    </w:pPr>
    <w:rPr>
      <w:rFonts w:ascii="Calibri" w:hAnsi="Calibri"/>
      <w:szCs w:val="22"/>
    </w:r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3467</Words>
  <Characters>3533</Characters>
  <Lines>25</Lines>
  <Paragraphs>7</Paragraphs>
  <TotalTime>1</TotalTime>
  <ScaleCrop>false</ScaleCrop>
  <LinksUpToDate>false</LinksUpToDate>
  <CharactersWithSpaces>3561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2022-03-11T06:17:00Z</dcterms:created>
  <dc:creator>admin</dc:creator>
  <cp:lastModifiedBy>魏永辉</cp:lastModifiedBy>
  <dcterms:modified xsi:type="dcterms:W3CDTF">2024-02-26T10:00:18Z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84087286442746C68F1227D829A1F006</vt:lpwstr>
  </property>
</Properties>
</file>