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0D" w:rsidRDefault="00A4280D" w:rsidP="00A4280D">
      <w:pPr>
        <w:tabs>
          <w:tab w:val="center" w:pos="6979"/>
        </w:tabs>
        <w:overflowPunct w:val="0"/>
        <w:spacing w:line="560" w:lineRule="exact"/>
        <w:rPr>
          <w:rFonts w:ascii="Times New Roman" w:eastAsia="仿宋_GB2312" w:hAnsi="Times New Roman"/>
          <w:bCs/>
          <w:kern w:val="0"/>
          <w:sz w:val="24"/>
          <w:szCs w:val="24"/>
        </w:rPr>
      </w:pPr>
      <w:r>
        <w:rPr>
          <w:rFonts w:ascii="Times New Roman" w:eastAsia="黑体" w:hAnsi="Times New Roman" w:hint="eastAsia"/>
          <w:bCs/>
          <w:kern w:val="0"/>
          <w:sz w:val="28"/>
          <w:szCs w:val="28"/>
        </w:rPr>
        <w:t>附表</w:t>
      </w:r>
      <w:r>
        <w:rPr>
          <w:rFonts w:ascii="Times New Roman" w:eastAsia="黑体" w:hAnsi="Times New Roman"/>
          <w:bCs/>
          <w:kern w:val="0"/>
          <w:sz w:val="28"/>
          <w:szCs w:val="28"/>
        </w:rPr>
        <w:t>2</w:t>
      </w:r>
    </w:p>
    <w:p w:rsidR="00A4280D" w:rsidRDefault="00A4280D" w:rsidP="00A4280D">
      <w:pPr>
        <w:tabs>
          <w:tab w:val="center" w:pos="6979"/>
        </w:tabs>
        <w:overflowPunct w:val="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b/>
          <w:kern w:val="0"/>
          <w:sz w:val="28"/>
          <w:szCs w:val="28"/>
        </w:rPr>
        <w:tab/>
      </w:r>
      <w:bookmarkStart w:id="0" w:name="_GoBack"/>
      <w:r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>QFLP</w:t>
      </w:r>
      <w:r>
        <w:rPr>
          <w:rFonts w:ascii="Times New Roman" w:hAnsi="Times New Roman" w:hint="eastAsia"/>
          <w:b/>
          <w:bCs/>
          <w:kern w:val="0"/>
          <w:sz w:val="30"/>
          <w:szCs w:val="30"/>
        </w:rPr>
        <w:t>试点基金管理企业向相关外汇局报送报表</w:t>
      </w:r>
      <w:proofErr w:type="gramStart"/>
      <w:r>
        <w:rPr>
          <w:rFonts w:ascii="Times New Roman" w:hAnsi="Times New Roman" w:hint="eastAsia"/>
          <w:b/>
          <w:bCs/>
          <w:kern w:val="0"/>
          <w:sz w:val="30"/>
          <w:szCs w:val="30"/>
        </w:rPr>
        <w:t>一</w:t>
      </w:r>
      <w:bookmarkEnd w:id="0"/>
      <w:proofErr w:type="gramEnd"/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（截止到</w:t>
      </w:r>
      <w:r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 xml:space="preserve">20  </w:t>
      </w:r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年第</w:t>
      </w:r>
      <w:r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季度末）</w:t>
      </w:r>
    </w:p>
    <w:tbl>
      <w:tblPr>
        <w:tblpPr w:leftFromText="180" w:rightFromText="180" w:vertAnchor="text" w:horzAnchor="page" w:tblpX="907" w:tblpY="348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252"/>
        <w:gridCol w:w="850"/>
        <w:gridCol w:w="851"/>
        <w:gridCol w:w="567"/>
        <w:gridCol w:w="992"/>
        <w:gridCol w:w="567"/>
        <w:gridCol w:w="851"/>
        <w:gridCol w:w="992"/>
        <w:gridCol w:w="992"/>
        <w:gridCol w:w="992"/>
        <w:gridCol w:w="851"/>
        <w:gridCol w:w="850"/>
        <w:gridCol w:w="1026"/>
        <w:gridCol w:w="1413"/>
      </w:tblGrid>
      <w:tr w:rsidR="00A4280D" w:rsidTr="00C33E08">
        <w:trPr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试点基金名称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单只试点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QFLP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规模（某地区）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已使用规模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资金汇入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资金汇出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净汇入</w:t>
            </w:r>
          </w:p>
        </w:tc>
      </w:tr>
      <w:tr w:rsidR="00A4280D" w:rsidTr="00C33E08">
        <w:trPr>
          <w:trHeight w:val="161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0D" w:rsidRDefault="00A4280D" w:rsidP="00C33E08">
            <w:pPr>
              <w:widowControl/>
              <w:overflowPunct w:val="0"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外汇（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其中：结汇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跨境人民币（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合计（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外汇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其中：购</w:t>
            </w:r>
          </w:p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汇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⑥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跨境人民币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</w:rPr>
              <w:t>合计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外汇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其中：净结汇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⑥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跨境人民币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</w:rPr>
              <w:t>合计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)</w:t>
            </w:r>
          </w:p>
        </w:tc>
      </w:tr>
      <w:tr w:rsidR="00A4280D" w:rsidTr="00C33E08">
        <w:trPr>
          <w:trHeight w:val="3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</w:rPr>
            </w:pPr>
            <w:r>
              <w:rPr>
                <w:rFonts w:ascii="Times New Roman" w:eastAsia="仿宋_GB2312" w:hAnsi="Times New Roman"/>
                <w:bCs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100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广州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4280D" w:rsidTr="00C33E08">
        <w:trPr>
          <w:trHeight w:val="3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</w:rPr>
            </w:pPr>
            <w:r>
              <w:rPr>
                <w:rFonts w:ascii="Times New Roman" w:eastAsia="仿宋_GB2312" w:hAnsi="Times New Roman"/>
                <w:bCs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100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上海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4280D" w:rsidTr="00C33E08">
        <w:trPr>
          <w:trHeight w:val="3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A4280D" w:rsidTr="00C33E08">
        <w:trPr>
          <w:trHeight w:val="385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0D" w:rsidRDefault="00A4280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A4280D" w:rsidRDefault="00A4280D" w:rsidP="00A4280D">
      <w:pPr>
        <w:overflowPunct w:val="0"/>
        <w:jc w:val="left"/>
        <w:rPr>
          <w:rFonts w:ascii="Times New Roman" w:eastAsia="仿宋_GB2312" w:hAnsi="Times New Roman"/>
          <w:bCs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试点基金管理企业名称：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试点基金管理企业类型（内资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/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外资）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单位：万（美元）</w:t>
      </w:r>
    </w:p>
    <w:p w:rsidR="00A4280D" w:rsidRDefault="00A4280D" w:rsidP="00A4280D">
      <w:pPr>
        <w:overflowPunct w:val="0"/>
        <w:adjustRightInd w:val="0"/>
        <w:snapToGrid w:val="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填表人：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联系电话：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负责人：（签章）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填表时间：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年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日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</w:t>
      </w:r>
    </w:p>
    <w:p w:rsidR="00A4280D" w:rsidRDefault="00A4280D" w:rsidP="00A4280D">
      <w:pPr>
        <w:overflowPunct w:val="0"/>
        <w:jc w:val="left"/>
        <w:rPr>
          <w:rFonts w:ascii="Times New Roman" w:eastAsia="仿宋_GB2312" w:hAnsi="Times New Roman"/>
          <w:bCs/>
          <w:kern w:val="0"/>
          <w:sz w:val="24"/>
          <w:szCs w:val="24"/>
        </w:rPr>
      </w:pPr>
    </w:p>
    <w:p w:rsidR="00A4280D" w:rsidRDefault="00A4280D" w:rsidP="00A4280D">
      <w:pPr>
        <w:overflowPunct w:val="0"/>
        <w:jc w:val="left"/>
        <w:rPr>
          <w:rFonts w:ascii="Times New Roman" w:eastAsia="仿宋_GB2312" w:hAnsi="Times New Roman"/>
          <w:bCs/>
          <w:kern w:val="0"/>
          <w:szCs w:val="21"/>
        </w:rPr>
      </w:pPr>
      <w:r>
        <w:rPr>
          <w:rFonts w:ascii="Times New Roman" w:eastAsia="仿宋_GB2312" w:hAnsi="Times New Roman" w:hint="eastAsia"/>
          <w:bCs/>
          <w:kern w:val="0"/>
          <w:szCs w:val="21"/>
        </w:rPr>
        <w:t>填表说明：</w:t>
      </w:r>
      <w:r>
        <w:rPr>
          <w:rFonts w:ascii="Times New Roman" w:eastAsia="仿宋_GB2312" w:hAnsi="Times New Roman"/>
          <w:bCs/>
          <w:kern w:val="0"/>
          <w:szCs w:val="21"/>
        </w:rPr>
        <w:t>1.</w:t>
      </w:r>
      <w:r>
        <w:rPr>
          <w:rFonts w:ascii="Times New Roman" w:eastAsia="仿宋_GB2312" w:hAnsi="Times New Roman" w:hint="eastAsia"/>
          <w:bCs/>
          <w:kern w:val="0"/>
          <w:szCs w:val="21"/>
        </w:rPr>
        <w:t>本表填表人为试点基金管理企业。</w:t>
      </w:r>
      <w:r>
        <w:rPr>
          <w:rFonts w:ascii="Times New Roman" w:eastAsia="仿宋_GB2312" w:hAnsi="Times New Roman"/>
          <w:bCs/>
          <w:kern w:val="0"/>
          <w:szCs w:val="21"/>
        </w:rPr>
        <w:t>2.</w:t>
      </w:r>
      <w:r>
        <w:rPr>
          <w:rFonts w:ascii="Times New Roman" w:eastAsia="仿宋_GB2312" w:hAnsi="Times New Roman" w:hint="eastAsia"/>
          <w:bCs/>
          <w:kern w:val="0"/>
          <w:szCs w:val="21"/>
        </w:rPr>
        <w:t>试点基金管理企业应</w:t>
      </w:r>
      <w:r>
        <w:rPr>
          <w:rFonts w:ascii="Times New Roman" w:eastAsia="仿宋_GB2312" w:hAnsi="Times New Roman" w:hint="eastAsia"/>
          <w:bCs/>
          <w:color w:val="000000"/>
          <w:kern w:val="0"/>
          <w:szCs w:val="21"/>
        </w:rPr>
        <w:t>同时向其注册地、</w:t>
      </w:r>
      <w:r>
        <w:rPr>
          <w:rFonts w:ascii="Times New Roman" w:eastAsia="仿宋_GB2312" w:hAnsi="Times New Roman"/>
          <w:bCs/>
          <w:color w:val="000000"/>
          <w:kern w:val="0"/>
          <w:szCs w:val="21"/>
        </w:rPr>
        <w:t>QFLP</w:t>
      </w:r>
      <w:r>
        <w:rPr>
          <w:rFonts w:ascii="Times New Roman" w:eastAsia="仿宋_GB2312" w:hAnsi="Times New Roman" w:hint="eastAsia"/>
          <w:bCs/>
          <w:color w:val="000000"/>
          <w:kern w:val="0"/>
          <w:szCs w:val="21"/>
        </w:rPr>
        <w:t>规模发放地外汇局以及试点基金注册地外汇局报送此报表。除跨境人民币</w:t>
      </w:r>
      <w:r>
        <w:rPr>
          <w:rFonts w:ascii="Times New Roman" w:eastAsia="仿宋_GB2312" w:hAnsi="Times New Roman" w:hint="eastAsia"/>
          <w:bCs/>
          <w:kern w:val="0"/>
          <w:szCs w:val="21"/>
        </w:rPr>
        <w:t>外，均填报折美元数。汇率应参照上月外汇局公布的各种货币对美元折算率表。</w:t>
      </w:r>
      <w:r>
        <w:rPr>
          <w:rFonts w:ascii="Times New Roman" w:eastAsia="仿宋_GB2312" w:hAnsi="Times New Roman"/>
          <w:bCs/>
          <w:kern w:val="0"/>
          <w:szCs w:val="21"/>
        </w:rPr>
        <w:t>3.</w:t>
      </w:r>
      <w:proofErr w:type="gramStart"/>
      <w:r>
        <w:rPr>
          <w:rFonts w:ascii="Times New Roman" w:eastAsia="仿宋_GB2312" w:hAnsi="Times New Roman" w:hint="eastAsia"/>
          <w:bCs/>
          <w:kern w:val="0"/>
          <w:szCs w:val="21"/>
        </w:rPr>
        <w:t>单只试点</w:t>
      </w:r>
      <w:proofErr w:type="gramEnd"/>
      <w:r>
        <w:rPr>
          <w:rFonts w:ascii="Times New Roman" w:eastAsia="仿宋_GB2312" w:hAnsi="Times New Roman" w:hint="eastAsia"/>
          <w:bCs/>
          <w:kern w:val="0"/>
          <w:szCs w:val="21"/>
        </w:rPr>
        <w:t>基金</w:t>
      </w:r>
      <w:r>
        <w:rPr>
          <w:rFonts w:ascii="Times New Roman" w:eastAsia="仿宋_GB2312" w:hAnsi="Times New Roman"/>
          <w:bCs/>
          <w:kern w:val="0"/>
          <w:szCs w:val="21"/>
        </w:rPr>
        <w:t>QFLP</w:t>
      </w:r>
      <w:r>
        <w:rPr>
          <w:rFonts w:ascii="Times New Roman" w:eastAsia="仿宋_GB2312" w:hAnsi="Times New Roman" w:hint="eastAsia"/>
          <w:bCs/>
          <w:kern w:val="0"/>
          <w:szCs w:val="21"/>
        </w:rPr>
        <w:t>规模（某地区）指：试点基金管理企业在同一试点地区发起成立多</w:t>
      </w:r>
      <w:proofErr w:type="gramStart"/>
      <w:r>
        <w:rPr>
          <w:rFonts w:ascii="Times New Roman" w:eastAsia="仿宋_GB2312" w:hAnsi="Times New Roman" w:hint="eastAsia"/>
          <w:bCs/>
          <w:kern w:val="0"/>
          <w:szCs w:val="21"/>
        </w:rPr>
        <w:t>只试点</w:t>
      </w:r>
      <w:proofErr w:type="gramEnd"/>
      <w:r>
        <w:rPr>
          <w:rFonts w:ascii="Times New Roman" w:eastAsia="仿宋_GB2312" w:hAnsi="Times New Roman" w:hint="eastAsia"/>
          <w:bCs/>
          <w:kern w:val="0"/>
          <w:szCs w:val="21"/>
        </w:rPr>
        <w:t>基金时，其自行分配的单只基金募集境外资金规模，并需按备案地区的不同分别填写，如：试点基金占用的是广州试点</w:t>
      </w:r>
      <w:r>
        <w:rPr>
          <w:rFonts w:ascii="Times New Roman" w:eastAsia="仿宋_GB2312" w:hAnsi="Times New Roman"/>
          <w:bCs/>
          <w:kern w:val="0"/>
          <w:szCs w:val="21"/>
        </w:rPr>
        <w:t>QFLP</w:t>
      </w:r>
      <w:r>
        <w:rPr>
          <w:rFonts w:ascii="Times New Roman" w:eastAsia="仿宋_GB2312" w:hAnsi="Times New Roman" w:hint="eastAsia"/>
          <w:bCs/>
          <w:kern w:val="0"/>
          <w:szCs w:val="21"/>
        </w:rPr>
        <w:t>规模为</w:t>
      </w:r>
      <w:r>
        <w:rPr>
          <w:rFonts w:ascii="Times New Roman" w:eastAsia="仿宋_GB2312" w:hAnsi="Times New Roman"/>
          <w:bCs/>
          <w:kern w:val="0"/>
          <w:szCs w:val="21"/>
        </w:rPr>
        <w:t>100</w:t>
      </w:r>
      <w:r>
        <w:rPr>
          <w:rFonts w:ascii="Times New Roman" w:eastAsia="仿宋_GB2312" w:hAnsi="Times New Roman" w:hint="eastAsia"/>
          <w:bCs/>
          <w:kern w:val="0"/>
          <w:szCs w:val="21"/>
        </w:rPr>
        <w:t>万美元，则填写</w:t>
      </w:r>
      <w:r>
        <w:rPr>
          <w:rFonts w:ascii="Times New Roman" w:eastAsia="仿宋_GB2312" w:hAnsi="Times New Roman"/>
          <w:bCs/>
          <w:kern w:val="0"/>
          <w:szCs w:val="21"/>
        </w:rPr>
        <w:t>100</w:t>
      </w:r>
      <w:r>
        <w:rPr>
          <w:rFonts w:ascii="Times New Roman" w:eastAsia="仿宋_GB2312" w:hAnsi="Times New Roman" w:hint="eastAsia"/>
          <w:bCs/>
          <w:kern w:val="0"/>
          <w:szCs w:val="21"/>
        </w:rPr>
        <w:t>（广州）。</w:t>
      </w:r>
      <w:r>
        <w:rPr>
          <w:rFonts w:ascii="Times New Roman" w:eastAsia="仿宋_GB2312" w:hAnsi="Times New Roman"/>
          <w:bCs/>
          <w:kern w:val="0"/>
          <w:szCs w:val="21"/>
        </w:rPr>
        <w:t>4.</w:t>
      </w:r>
      <w:r>
        <w:rPr>
          <w:rFonts w:ascii="Times New Roman" w:eastAsia="仿宋_GB2312" w:hAnsi="Times New Roman"/>
          <w:bCs/>
          <w:kern w:val="0"/>
          <w:szCs w:val="21"/>
        </w:rPr>
        <w:t>已使用规模指，</w:t>
      </w:r>
      <w:r>
        <w:rPr>
          <w:rFonts w:ascii="Times New Roman" w:eastAsia="仿宋_GB2312" w:hAnsi="Times New Roman" w:hint="eastAsia"/>
          <w:bCs/>
          <w:kern w:val="0"/>
          <w:szCs w:val="21"/>
        </w:rPr>
        <w:t>该只基金境外有限合伙人本、外币净汇入金额（含本金和投资收益，不含股息、利润、分红、税费等经常项目收支）</w:t>
      </w:r>
      <w:r>
        <w:rPr>
          <w:rFonts w:ascii="Times New Roman" w:eastAsia="仿宋_GB2312" w:hAnsi="Times New Roman"/>
          <w:bCs/>
          <w:kern w:val="0"/>
          <w:szCs w:val="21"/>
        </w:rPr>
        <w:t>。</w:t>
      </w:r>
      <w:r>
        <w:rPr>
          <w:rFonts w:ascii="Times New Roman" w:eastAsia="仿宋_GB2312" w:hAnsi="Times New Roman"/>
          <w:bCs/>
          <w:color w:val="000000"/>
          <w:kern w:val="0"/>
          <w:szCs w:val="21"/>
        </w:rPr>
        <w:t>5.</w:t>
      </w:r>
      <w:r>
        <w:rPr>
          <w:rFonts w:ascii="Times New Roman" w:eastAsia="仿宋_GB2312" w:hAnsi="Times New Roman" w:hint="eastAsia"/>
          <w:bCs/>
          <w:kern w:val="0"/>
          <w:szCs w:val="21"/>
        </w:rPr>
        <w:t>资金汇出入填写：自该只基金成立以来累计资金汇入出情况。</w:t>
      </w:r>
      <w:r>
        <w:rPr>
          <w:rFonts w:ascii="Times New Roman" w:eastAsia="仿宋_GB2312" w:hAnsi="Times New Roman"/>
          <w:bCs/>
          <w:kern w:val="0"/>
          <w:szCs w:val="21"/>
        </w:rPr>
        <w:t>6.</w:t>
      </w:r>
      <w:r>
        <w:rPr>
          <w:rFonts w:ascii="Times New Roman" w:eastAsia="仿宋_GB2312" w:hAnsi="Times New Roman" w:hint="eastAsia"/>
          <w:bCs/>
          <w:kern w:val="0"/>
          <w:szCs w:val="21"/>
        </w:rPr>
        <w:t>净汇入金额</w:t>
      </w:r>
      <w:r>
        <w:rPr>
          <w:rFonts w:ascii="Times New Roman" w:eastAsia="仿宋_GB2312" w:hAnsi="Times New Roman"/>
          <w:bCs/>
          <w:kern w:val="0"/>
          <w:szCs w:val="21"/>
        </w:rPr>
        <w:t>=</w:t>
      </w:r>
      <w:r>
        <w:rPr>
          <w:rFonts w:ascii="Times New Roman" w:eastAsia="仿宋_GB2312" w:hAnsi="Times New Roman" w:hint="eastAsia"/>
          <w:bCs/>
          <w:kern w:val="0"/>
          <w:szCs w:val="21"/>
        </w:rPr>
        <w:t>汇入资金额</w:t>
      </w:r>
      <w:r>
        <w:rPr>
          <w:rFonts w:ascii="Times New Roman" w:eastAsia="仿宋_GB2312" w:hAnsi="Times New Roman"/>
          <w:bCs/>
          <w:kern w:val="0"/>
          <w:szCs w:val="21"/>
        </w:rPr>
        <w:t>-</w:t>
      </w:r>
      <w:r>
        <w:rPr>
          <w:rFonts w:ascii="Times New Roman" w:eastAsia="仿宋_GB2312" w:hAnsi="Times New Roman" w:hint="eastAsia"/>
          <w:bCs/>
          <w:kern w:val="0"/>
          <w:szCs w:val="21"/>
        </w:rPr>
        <w:t>汇出资金额；净结汇金额</w:t>
      </w:r>
      <w:r>
        <w:rPr>
          <w:rFonts w:ascii="Times New Roman" w:eastAsia="仿宋_GB2312" w:hAnsi="Times New Roman"/>
          <w:bCs/>
          <w:kern w:val="0"/>
          <w:szCs w:val="21"/>
        </w:rPr>
        <w:t>=</w:t>
      </w:r>
      <w:r>
        <w:rPr>
          <w:rFonts w:ascii="Times New Roman" w:eastAsia="仿宋_GB2312" w:hAnsi="Times New Roman" w:hint="eastAsia"/>
          <w:bCs/>
          <w:kern w:val="0"/>
          <w:szCs w:val="21"/>
        </w:rPr>
        <w:t>结汇资金额</w:t>
      </w:r>
      <w:r>
        <w:rPr>
          <w:rFonts w:ascii="Times New Roman" w:eastAsia="仿宋_GB2312" w:hAnsi="Times New Roman"/>
          <w:bCs/>
          <w:kern w:val="0"/>
          <w:szCs w:val="21"/>
        </w:rPr>
        <w:t>-</w:t>
      </w:r>
      <w:r>
        <w:rPr>
          <w:rFonts w:ascii="Times New Roman" w:eastAsia="仿宋_GB2312" w:hAnsi="Times New Roman" w:hint="eastAsia"/>
          <w:bCs/>
          <w:kern w:val="0"/>
          <w:szCs w:val="21"/>
        </w:rPr>
        <w:t>购汇资金。</w:t>
      </w:r>
      <w:r>
        <w:rPr>
          <w:rFonts w:ascii="Times New Roman" w:eastAsia="仿宋_GB2312" w:hAnsi="Times New Roman"/>
          <w:bCs/>
          <w:kern w:val="0"/>
          <w:szCs w:val="21"/>
        </w:rPr>
        <w:t>7.</w:t>
      </w:r>
      <w:r>
        <w:rPr>
          <w:rFonts w:ascii="Times New Roman" w:eastAsia="仿宋_GB2312" w:hAnsi="Times New Roman" w:hint="eastAsia"/>
          <w:bCs/>
          <w:kern w:val="0"/>
          <w:szCs w:val="21"/>
        </w:rPr>
        <w:t>试点基金管理企业可根据业务情况增减相关行数。</w:t>
      </w:r>
    </w:p>
    <w:p w:rsidR="00731C6F" w:rsidRPr="00A4280D" w:rsidRDefault="00731C6F"/>
    <w:sectPr w:rsidR="00731C6F" w:rsidRPr="00A4280D" w:rsidSect="00A428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D"/>
    <w:rsid w:val="00731C6F"/>
    <w:rsid w:val="00A4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9640-5202-49CA-B92A-E3E63EF8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2022-05-09T09:57:00Z</dcterms:created>
  <dcterms:modified xsi:type="dcterms:W3CDTF">2022-05-09T09:59:00Z</dcterms:modified>
</cp:coreProperties>
</file>