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ustomizations.xml" ContentType="application/vnd.ms-word.keyMapCustomization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jc w:val="center"/>
        <w:rPr>
          <w:rFonts w:hint="default" w:ascii="方正小标宋简体" w:hAnsi="方正小标宋简体" w:eastAsia="方正小标宋简体" w:cs="方正小标宋简体"/>
          <w:sz w:val="36"/>
          <w:szCs w:val="36"/>
          <w:lang w:val="en-US" w:eastAsia="zh-CN"/>
        </w:rPr>
      </w:pPr>
      <w:bookmarkStart w:id="2110" w:name="_GoBack"/>
      <w:r>
        <w:rPr>
          <w:rFonts w:hint="eastAsia" w:ascii="方正小标宋简体" w:hAnsi="方正小标宋简体" w:eastAsia="方正小标宋简体" w:cs="方正小标宋简体"/>
          <w:sz w:val="44"/>
          <w:szCs w:val="44"/>
          <w:lang w:val="en-US" w:eastAsia="zh-CN"/>
        </w:rPr>
        <w:t>广州市金融突发事件应急预案</w:t>
      </w:r>
    </w:p>
    <w:p>
      <w:pPr>
        <w:spacing w:before="312" w:beforeLines="100"/>
        <w:ind w:firstLine="3618" w:firstLineChars="1005"/>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目   录</w:t>
      </w:r>
    </w:p>
    <w:sdt>
      <w:sdtPr>
        <w:rPr>
          <w:rFonts w:ascii="宋体" w:hAnsi="宋体" w:eastAsia="宋体" w:cs="Times New Roman"/>
          <w:kern w:val="0"/>
          <w:sz w:val="21"/>
          <w:szCs w:val="20"/>
        </w:rPr>
        <w:id w:val="980585227"/>
        <w15:color w:val="DBDBDB"/>
        <w:docPartObj>
          <w:docPartGallery w:val="Table of Contents"/>
          <w:docPartUnique/>
        </w:docPartObj>
      </w:sdtPr>
      <w:sdtEndPr>
        <w:rPr>
          <w:rFonts w:ascii="Times New Roman" w:hAnsi="Times New Roman" w:eastAsia="宋体" w:cs="Times New Roman"/>
          <w:kern w:val="0"/>
          <w:sz w:val="20"/>
          <w:szCs w:val="20"/>
        </w:rPr>
      </w:sdtEndPr>
      <w:sdtContent>
        <w:p>
          <w:pPr>
            <w:spacing w:line="240" w:lineRule="auto"/>
            <w:ind w:firstLine="0" w:firstLineChars="0"/>
            <w:jc w:val="center"/>
          </w:pPr>
          <w:bookmarkStart w:id="0" w:name="_Toc17868_WPSOffice_Type2"/>
        </w:p>
        <w:p>
          <w:pPr>
            <w:pStyle w:val="30"/>
            <w:tabs>
              <w:tab w:val="right" w:leader="dot" w:pos="8960"/>
            </w:tabs>
          </w:pPr>
          <w:r>
            <w:fldChar w:fldCharType="begin"/>
          </w:r>
          <w:r>
            <w:instrText xml:space="preserve"> HYPERLINK \l "_Toc4541_WPSOffice_Level1" </w:instrText>
          </w:r>
          <w:r>
            <w:fldChar w:fldCharType="separate"/>
          </w:r>
          <w:sdt>
            <w:sdtPr>
              <w:rPr>
                <w:rFonts w:eastAsia="仿宋_GB2312" w:cstheme="minorBidi"/>
                <w:b/>
                <w:bCs/>
                <w:kern w:val="2"/>
                <w:sz w:val="32"/>
                <w:szCs w:val="22"/>
              </w:rPr>
              <w:id w:val="147476307"/>
              <w:placeholder>
                <w:docPart w:val="{9ff7f27a-10b0-4fdd-ba89-5f3917677978}"/>
              </w:placeholder>
              <w15:color w:val="509DF3"/>
            </w:sdtPr>
            <w:sdtEndPr>
              <w:rPr>
                <w:rFonts w:eastAsia="仿宋_GB2312" w:cstheme="minorBidi"/>
                <w:b/>
                <w:bCs/>
                <w:kern w:val="2"/>
                <w:sz w:val="32"/>
                <w:szCs w:val="22"/>
              </w:rPr>
            </w:sdtEndPr>
            <w:sdtContent>
              <w:r>
                <w:rPr>
                  <w:rFonts w:hint="eastAsia" w:ascii="宋体" w:hAnsi="宋体" w:eastAsia="黑体" w:cs="宋体"/>
                  <w:b/>
                  <w:bCs/>
                  <w:sz w:val="32"/>
                </w:rPr>
                <w:t>1　总则</w:t>
              </w:r>
            </w:sdtContent>
          </w:sdt>
          <w:r>
            <w:rPr>
              <w:b/>
              <w:bCs/>
            </w:rPr>
            <w:tab/>
          </w:r>
          <w:r>
            <w:rPr>
              <w:rFonts w:hint="eastAsia" w:ascii="宋体" w:hAnsi="宋体" w:eastAsia="黑体" w:cs="宋体"/>
              <w:b/>
              <w:bCs/>
              <w:sz w:val="32"/>
            </w:rPr>
            <w:t>1</w:t>
          </w:r>
          <w:r>
            <w:rPr>
              <w:rFonts w:hint="eastAsia" w:ascii="宋体" w:hAnsi="宋体" w:eastAsia="黑体" w:cs="宋体"/>
              <w:b/>
              <w:bCs/>
              <w:sz w:val="32"/>
            </w:rPr>
            <w:fldChar w:fldCharType="end"/>
          </w:r>
        </w:p>
        <w:p>
          <w:pPr>
            <w:pStyle w:val="31"/>
            <w:tabs>
              <w:tab w:val="right" w:leader="dot" w:pos="8960"/>
            </w:tabs>
            <w:ind w:left="640"/>
            <w:rPr>
              <w:rFonts w:ascii="楷体_GB2312" w:hAnsi="楷体_GB2312" w:eastAsia="楷体_GB2312" w:cs="楷体_GB2312"/>
              <w:sz w:val="30"/>
              <w:szCs w:val="30"/>
            </w:rPr>
          </w:pPr>
          <w:r>
            <w:fldChar w:fldCharType="begin"/>
          </w:r>
          <w:r>
            <w:instrText xml:space="preserve"> HYPERLINK \l "_Toc17868_WPSOffice_Level2" </w:instrText>
          </w:r>
          <w:r>
            <w:fldChar w:fldCharType="separate"/>
          </w:r>
          <w:sdt>
            <w:sdtPr>
              <w:rPr>
                <w:rFonts w:hint="eastAsia" w:ascii="楷体_GB2312" w:hAnsi="楷体_GB2312" w:eastAsia="楷体_GB2312" w:cs="楷体_GB2312"/>
                <w:sz w:val="30"/>
                <w:szCs w:val="30"/>
              </w:rPr>
              <w:id w:val="-1198842793"/>
              <w:placeholder>
                <w:docPart w:val="{20e4cef5-467e-4b28-b9cb-c00aaddb3572}"/>
              </w:placeholder>
              <w15:color w:val="509DF3"/>
            </w:sdtPr>
            <w:sdtEndPr>
              <w:rPr>
                <w:rFonts w:hint="eastAsia" w:ascii="楷体_GB2312" w:hAnsi="楷体_GB2312" w:eastAsia="楷体_GB2312" w:cs="楷体_GB2312"/>
                <w:sz w:val="30"/>
                <w:szCs w:val="30"/>
              </w:rPr>
            </w:sdtEndPr>
            <w:sdtContent>
              <w:r>
                <w:rPr>
                  <w:rFonts w:hint="eastAsia" w:ascii="楷体_GB2312" w:hAnsi="楷体_GB2312" w:eastAsia="楷体_GB2312" w:cs="楷体_GB2312"/>
                  <w:sz w:val="30"/>
                  <w:szCs w:val="30"/>
                </w:rPr>
                <w:t xml:space="preserve">1.1　编制目的 </w:t>
              </w:r>
            </w:sdtContent>
          </w:sdt>
          <w:r>
            <w:rPr>
              <w:rFonts w:hint="eastAsia" w:ascii="楷体_GB2312" w:hAnsi="楷体_GB2312" w:eastAsia="楷体_GB2312" w:cs="楷体_GB2312"/>
              <w:sz w:val="30"/>
              <w:szCs w:val="30"/>
            </w:rPr>
            <w:tab/>
          </w:r>
          <w:r>
            <w:rPr>
              <w:rFonts w:hint="eastAsia" w:ascii="楷体_GB2312" w:hAnsi="楷体_GB2312" w:eastAsia="楷体_GB2312" w:cs="楷体_GB2312"/>
              <w:sz w:val="30"/>
              <w:szCs w:val="30"/>
            </w:rPr>
            <w:t>1</w:t>
          </w:r>
          <w:r>
            <w:rPr>
              <w:rFonts w:hint="eastAsia" w:ascii="楷体_GB2312" w:hAnsi="楷体_GB2312" w:eastAsia="楷体_GB2312" w:cs="楷体_GB2312"/>
              <w:sz w:val="30"/>
              <w:szCs w:val="30"/>
            </w:rPr>
            <w:fldChar w:fldCharType="end"/>
          </w:r>
        </w:p>
        <w:p>
          <w:pPr>
            <w:pStyle w:val="31"/>
            <w:tabs>
              <w:tab w:val="right" w:leader="dot" w:pos="8960"/>
            </w:tabs>
            <w:ind w:left="640"/>
            <w:rPr>
              <w:rFonts w:ascii="楷体_GB2312" w:hAnsi="楷体_GB2312" w:eastAsia="楷体_GB2312" w:cs="楷体_GB2312"/>
              <w:sz w:val="30"/>
              <w:szCs w:val="30"/>
            </w:rPr>
          </w:pPr>
          <w:r>
            <w:rPr>
              <w:rFonts w:hint="eastAsia"/>
            </w:rPr>
            <w:fldChar w:fldCharType="begin"/>
          </w:r>
          <w:r>
            <w:instrText xml:space="preserve"> HYPERLINK \l "_Toc14777_WPSOffice_Level2" </w:instrText>
          </w:r>
          <w:r>
            <w:rPr>
              <w:rFonts w:hint="eastAsia"/>
            </w:rPr>
            <w:fldChar w:fldCharType="separate"/>
          </w:r>
          <w:sdt>
            <w:sdtPr>
              <w:rPr>
                <w:rFonts w:hint="eastAsia" w:ascii="楷体_GB2312" w:hAnsi="楷体_GB2312" w:eastAsia="楷体_GB2312" w:cs="楷体_GB2312"/>
                <w:sz w:val="30"/>
                <w:szCs w:val="30"/>
              </w:rPr>
              <w:id w:val="-1850322040"/>
              <w:placeholder>
                <w:docPart w:val="{b2a234f3-0112-4055-82c5-d9795c26abe3}"/>
              </w:placeholder>
              <w15:color w:val="509DF3"/>
            </w:sdtPr>
            <w:sdtEndPr>
              <w:rPr>
                <w:rFonts w:hint="eastAsia" w:ascii="楷体_GB2312" w:hAnsi="楷体_GB2312" w:eastAsia="楷体_GB2312" w:cs="楷体_GB2312"/>
                <w:sz w:val="30"/>
                <w:szCs w:val="30"/>
              </w:rPr>
            </w:sdtEndPr>
            <w:sdtContent>
              <w:r>
                <w:rPr>
                  <w:rFonts w:hint="eastAsia" w:ascii="楷体_GB2312" w:hAnsi="楷体_GB2312" w:eastAsia="楷体_GB2312" w:cs="楷体_GB2312"/>
                  <w:sz w:val="30"/>
                  <w:szCs w:val="30"/>
                </w:rPr>
                <w:t>1.2　编制依据</w:t>
              </w:r>
            </w:sdtContent>
          </w:sdt>
          <w:r>
            <w:rPr>
              <w:rFonts w:hint="eastAsia" w:ascii="楷体_GB2312" w:hAnsi="楷体_GB2312" w:eastAsia="楷体_GB2312" w:cs="楷体_GB2312"/>
              <w:sz w:val="30"/>
              <w:szCs w:val="30"/>
            </w:rPr>
            <w:tab/>
          </w:r>
          <w:r>
            <w:rPr>
              <w:rFonts w:hint="eastAsia" w:ascii="楷体_GB2312" w:hAnsi="楷体_GB2312" w:eastAsia="楷体_GB2312" w:cs="楷体_GB2312"/>
              <w:sz w:val="30"/>
              <w:szCs w:val="30"/>
            </w:rPr>
            <w:t>1</w:t>
          </w:r>
          <w:r>
            <w:rPr>
              <w:rFonts w:hint="eastAsia" w:ascii="楷体_GB2312" w:hAnsi="楷体_GB2312" w:eastAsia="楷体_GB2312" w:cs="楷体_GB2312"/>
              <w:sz w:val="30"/>
              <w:szCs w:val="30"/>
            </w:rPr>
            <w:fldChar w:fldCharType="end"/>
          </w:r>
        </w:p>
        <w:p>
          <w:pPr>
            <w:pStyle w:val="31"/>
            <w:tabs>
              <w:tab w:val="right" w:leader="dot" w:pos="8960"/>
            </w:tabs>
            <w:ind w:left="640"/>
            <w:rPr>
              <w:rFonts w:ascii="楷体_GB2312" w:hAnsi="楷体_GB2312" w:eastAsia="楷体_GB2312" w:cs="楷体_GB2312"/>
              <w:sz w:val="30"/>
              <w:szCs w:val="30"/>
            </w:rPr>
          </w:pPr>
          <w:r>
            <w:rPr>
              <w:rFonts w:hint="eastAsia"/>
            </w:rPr>
            <w:fldChar w:fldCharType="begin"/>
          </w:r>
          <w:r>
            <w:instrText xml:space="preserve"> HYPERLINK \l "_Toc31801_WPSOffice_Level2" </w:instrText>
          </w:r>
          <w:r>
            <w:rPr>
              <w:rFonts w:hint="eastAsia"/>
            </w:rPr>
            <w:fldChar w:fldCharType="separate"/>
          </w:r>
          <w:sdt>
            <w:sdtPr>
              <w:rPr>
                <w:rFonts w:hint="eastAsia" w:ascii="楷体_GB2312" w:hAnsi="楷体_GB2312" w:eastAsia="楷体_GB2312" w:cs="楷体_GB2312"/>
                <w:sz w:val="30"/>
                <w:szCs w:val="30"/>
              </w:rPr>
              <w:id w:val="-703873541"/>
              <w:placeholder>
                <w:docPart w:val="{4cea1374-8745-4391-9990-e84ad6a471b2}"/>
              </w:placeholder>
              <w15:color w:val="509DF3"/>
            </w:sdtPr>
            <w:sdtEndPr>
              <w:rPr>
                <w:rFonts w:hint="eastAsia" w:ascii="楷体_GB2312" w:hAnsi="楷体_GB2312" w:eastAsia="楷体_GB2312" w:cs="楷体_GB2312"/>
                <w:sz w:val="30"/>
                <w:szCs w:val="30"/>
              </w:rPr>
            </w:sdtEndPr>
            <w:sdtContent>
              <w:r>
                <w:rPr>
                  <w:rFonts w:hint="eastAsia" w:ascii="楷体_GB2312" w:hAnsi="楷体_GB2312" w:eastAsia="楷体_GB2312" w:cs="楷体_GB2312"/>
                  <w:sz w:val="30"/>
                  <w:szCs w:val="30"/>
                </w:rPr>
                <w:t>1.3　适用范围</w:t>
              </w:r>
            </w:sdtContent>
          </w:sdt>
          <w:r>
            <w:rPr>
              <w:rFonts w:hint="eastAsia" w:ascii="楷体_GB2312" w:hAnsi="楷体_GB2312" w:eastAsia="楷体_GB2312" w:cs="楷体_GB2312"/>
              <w:sz w:val="30"/>
              <w:szCs w:val="30"/>
            </w:rPr>
            <w:tab/>
          </w:r>
          <w:r>
            <w:rPr>
              <w:rFonts w:hint="eastAsia" w:ascii="楷体_GB2312" w:hAnsi="楷体_GB2312" w:eastAsia="楷体_GB2312" w:cs="楷体_GB2312"/>
              <w:sz w:val="30"/>
              <w:szCs w:val="30"/>
            </w:rPr>
            <w:t>1</w:t>
          </w:r>
          <w:r>
            <w:rPr>
              <w:rFonts w:hint="eastAsia" w:ascii="楷体_GB2312" w:hAnsi="楷体_GB2312" w:eastAsia="楷体_GB2312" w:cs="楷体_GB2312"/>
              <w:sz w:val="30"/>
              <w:szCs w:val="30"/>
            </w:rPr>
            <w:fldChar w:fldCharType="end"/>
          </w:r>
        </w:p>
        <w:p>
          <w:pPr>
            <w:pStyle w:val="31"/>
            <w:tabs>
              <w:tab w:val="right" w:leader="dot" w:pos="8960"/>
            </w:tabs>
            <w:ind w:left="640"/>
            <w:rPr>
              <w:rFonts w:ascii="楷体_GB2312" w:hAnsi="楷体_GB2312" w:eastAsia="楷体_GB2312" w:cs="楷体_GB2312"/>
              <w:sz w:val="30"/>
              <w:szCs w:val="30"/>
            </w:rPr>
          </w:pPr>
          <w:r>
            <w:rPr>
              <w:rFonts w:hint="eastAsia"/>
            </w:rPr>
            <w:fldChar w:fldCharType="begin"/>
          </w:r>
          <w:r>
            <w:instrText xml:space="preserve"> HYPERLINK \l "_Toc21841_WPSOffice_Level2" </w:instrText>
          </w:r>
          <w:r>
            <w:rPr>
              <w:rFonts w:hint="eastAsia"/>
            </w:rPr>
            <w:fldChar w:fldCharType="separate"/>
          </w:r>
          <w:sdt>
            <w:sdtPr>
              <w:rPr>
                <w:rFonts w:hint="eastAsia" w:ascii="楷体_GB2312" w:hAnsi="楷体_GB2312" w:eastAsia="楷体_GB2312" w:cs="楷体_GB2312"/>
                <w:sz w:val="30"/>
                <w:szCs w:val="30"/>
              </w:rPr>
              <w:id w:val="-1251269885"/>
              <w:placeholder>
                <w:docPart w:val="{823bdc69-ac76-4953-a01d-ff441faabc58}"/>
              </w:placeholder>
              <w15:color w:val="509DF3"/>
            </w:sdtPr>
            <w:sdtEndPr>
              <w:rPr>
                <w:rFonts w:hint="eastAsia" w:ascii="楷体_GB2312" w:hAnsi="楷体_GB2312" w:eastAsia="楷体_GB2312" w:cs="楷体_GB2312"/>
                <w:sz w:val="30"/>
                <w:szCs w:val="30"/>
              </w:rPr>
            </w:sdtEndPr>
            <w:sdtContent>
              <w:r>
                <w:rPr>
                  <w:rFonts w:hint="eastAsia" w:ascii="楷体_GB2312" w:hAnsi="楷体_GB2312" w:eastAsia="楷体_GB2312" w:cs="楷体_GB2312"/>
                  <w:sz w:val="30"/>
                  <w:szCs w:val="30"/>
                </w:rPr>
                <w:t>1.4  工作原则</w:t>
              </w:r>
            </w:sdtContent>
          </w:sdt>
          <w:r>
            <w:rPr>
              <w:rFonts w:hint="eastAsia" w:ascii="楷体_GB2312" w:hAnsi="楷体_GB2312" w:eastAsia="楷体_GB2312" w:cs="楷体_GB2312"/>
              <w:sz w:val="30"/>
              <w:szCs w:val="30"/>
            </w:rPr>
            <w:tab/>
          </w:r>
          <w:r>
            <w:rPr>
              <w:rFonts w:hint="eastAsia" w:ascii="楷体_GB2312" w:hAnsi="楷体_GB2312" w:eastAsia="楷体_GB2312" w:cs="楷体_GB2312"/>
              <w:sz w:val="30"/>
              <w:szCs w:val="30"/>
            </w:rPr>
            <w:t>2</w:t>
          </w:r>
          <w:r>
            <w:rPr>
              <w:rFonts w:hint="eastAsia" w:ascii="楷体_GB2312" w:hAnsi="楷体_GB2312" w:eastAsia="楷体_GB2312" w:cs="楷体_GB2312"/>
              <w:sz w:val="30"/>
              <w:szCs w:val="30"/>
            </w:rPr>
            <w:fldChar w:fldCharType="end"/>
          </w:r>
        </w:p>
        <w:p>
          <w:pPr>
            <w:pStyle w:val="31"/>
            <w:tabs>
              <w:tab w:val="right" w:leader="dot" w:pos="8960"/>
            </w:tabs>
            <w:ind w:left="640"/>
          </w:pPr>
          <w:r>
            <w:rPr>
              <w:rFonts w:hint="eastAsia"/>
            </w:rPr>
            <w:fldChar w:fldCharType="begin"/>
          </w:r>
          <w:r>
            <w:instrText xml:space="preserve"> HYPERLINK \l "_Toc13811_WPSOffice_Level2" </w:instrText>
          </w:r>
          <w:r>
            <w:rPr>
              <w:rFonts w:hint="eastAsia"/>
            </w:rPr>
            <w:fldChar w:fldCharType="separate"/>
          </w:r>
          <w:sdt>
            <w:sdtPr>
              <w:rPr>
                <w:rFonts w:hint="eastAsia" w:ascii="楷体_GB2312" w:hAnsi="楷体_GB2312" w:eastAsia="楷体_GB2312" w:cs="楷体_GB2312"/>
                <w:sz w:val="30"/>
                <w:szCs w:val="30"/>
              </w:rPr>
              <w:id w:val="1769427483"/>
              <w:placeholder>
                <w:docPart w:val="{41662ba2-5e55-4a4d-b7db-cf0d2f1ecef9}"/>
              </w:placeholder>
              <w15:color w:val="509DF3"/>
            </w:sdtPr>
            <w:sdtEndPr>
              <w:rPr>
                <w:rFonts w:hint="eastAsia" w:ascii="楷体_GB2312" w:hAnsi="楷体_GB2312" w:eastAsia="楷体_GB2312" w:cs="楷体_GB2312"/>
                <w:sz w:val="30"/>
                <w:szCs w:val="30"/>
              </w:rPr>
            </w:sdtEndPr>
            <w:sdtContent>
              <w:r>
                <w:rPr>
                  <w:rFonts w:hint="eastAsia" w:ascii="楷体_GB2312" w:hAnsi="楷体_GB2312" w:eastAsia="楷体_GB2312" w:cs="楷体_GB2312"/>
                  <w:sz w:val="30"/>
                  <w:szCs w:val="30"/>
                </w:rPr>
                <w:t>1.5　预案体系</w:t>
              </w:r>
            </w:sdtContent>
          </w:sdt>
          <w:r>
            <w:rPr>
              <w:rFonts w:hint="eastAsia" w:ascii="楷体_GB2312" w:hAnsi="楷体_GB2312" w:eastAsia="楷体_GB2312" w:cs="楷体_GB2312"/>
              <w:sz w:val="30"/>
              <w:szCs w:val="30"/>
            </w:rPr>
            <w:tab/>
          </w:r>
          <w:r>
            <w:rPr>
              <w:rFonts w:hint="eastAsia" w:ascii="楷体_GB2312" w:hAnsi="楷体_GB2312" w:eastAsia="楷体_GB2312" w:cs="楷体_GB2312"/>
              <w:sz w:val="30"/>
              <w:szCs w:val="30"/>
            </w:rPr>
            <w:t>3</w:t>
          </w:r>
          <w:r>
            <w:rPr>
              <w:rFonts w:hint="eastAsia" w:ascii="楷体_GB2312" w:hAnsi="楷体_GB2312" w:eastAsia="楷体_GB2312" w:cs="楷体_GB2312"/>
              <w:sz w:val="30"/>
              <w:szCs w:val="30"/>
            </w:rPr>
            <w:fldChar w:fldCharType="end"/>
          </w:r>
        </w:p>
        <w:p>
          <w:pPr>
            <w:pStyle w:val="30"/>
            <w:tabs>
              <w:tab w:val="right" w:leader="dot" w:pos="8960"/>
            </w:tabs>
          </w:pPr>
          <w:r>
            <w:rPr>
              <w:rFonts w:hint="eastAsia"/>
            </w:rPr>
            <w:fldChar w:fldCharType="begin"/>
          </w:r>
          <w:r>
            <w:instrText xml:space="preserve"> HYPERLINK \l "_Toc17868_WPSOffice_Level1" </w:instrText>
          </w:r>
          <w:r>
            <w:rPr>
              <w:rFonts w:hint="eastAsia"/>
            </w:rPr>
            <w:fldChar w:fldCharType="separate"/>
          </w:r>
          <w:sdt>
            <w:sdtPr>
              <w:rPr>
                <w:rFonts w:eastAsia="仿宋_GB2312" w:cstheme="minorBidi"/>
                <w:b/>
                <w:bCs/>
                <w:kern w:val="2"/>
                <w:sz w:val="32"/>
                <w:szCs w:val="22"/>
              </w:rPr>
              <w:id w:val="646019215"/>
              <w:placeholder>
                <w:docPart w:val="{6021e7e9-e66b-44bb-895c-338567502124}"/>
              </w:placeholder>
              <w15:color w:val="509DF3"/>
            </w:sdtPr>
            <w:sdtEndPr>
              <w:rPr>
                <w:rFonts w:hint="eastAsia" w:ascii="宋体" w:hAnsi="宋体" w:eastAsia="黑体" w:cs="宋体"/>
                <w:b/>
                <w:bCs/>
                <w:kern w:val="0"/>
                <w:sz w:val="32"/>
                <w:szCs w:val="20"/>
              </w:rPr>
            </w:sdtEndPr>
            <w:sdtContent>
              <w:r>
                <w:rPr>
                  <w:rFonts w:hint="eastAsia" w:ascii="宋体" w:hAnsi="宋体" w:eastAsia="黑体" w:cs="宋体"/>
                  <w:b/>
                  <w:bCs/>
                  <w:sz w:val="32"/>
                </w:rPr>
                <w:t>2　组织体系与职责分工</w:t>
              </w:r>
            </w:sdtContent>
          </w:sdt>
          <w:r>
            <w:rPr>
              <w:b/>
              <w:bCs/>
            </w:rPr>
            <w:tab/>
          </w:r>
          <w:r>
            <w:rPr>
              <w:rFonts w:hint="eastAsia" w:ascii="宋体" w:hAnsi="宋体" w:eastAsia="黑体" w:cs="宋体"/>
              <w:b/>
              <w:bCs/>
              <w:sz w:val="32"/>
            </w:rPr>
            <w:t>3</w:t>
          </w:r>
          <w:r>
            <w:rPr>
              <w:rFonts w:hint="eastAsia" w:ascii="宋体" w:hAnsi="宋体" w:eastAsia="黑体" w:cs="宋体"/>
              <w:b/>
              <w:bCs/>
              <w:sz w:val="32"/>
            </w:rPr>
            <w:fldChar w:fldCharType="end"/>
          </w:r>
        </w:p>
        <w:p>
          <w:pPr>
            <w:pStyle w:val="31"/>
            <w:tabs>
              <w:tab w:val="right" w:leader="dot" w:pos="8960"/>
            </w:tabs>
            <w:ind w:left="640"/>
            <w:rPr>
              <w:rFonts w:ascii="楷体_GB2312" w:hAnsi="楷体_GB2312" w:eastAsia="楷体_GB2312" w:cs="楷体_GB2312"/>
              <w:sz w:val="30"/>
              <w:szCs w:val="30"/>
            </w:rPr>
          </w:pPr>
          <w:r>
            <w:rPr>
              <w:rFonts w:hint="eastAsia"/>
            </w:rPr>
            <w:fldChar w:fldCharType="begin"/>
          </w:r>
          <w:r>
            <w:instrText xml:space="preserve"> HYPERLINK \l "_Toc10049_WPSOffice_Level2" </w:instrText>
          </w:r>
          <w:r>
            <w:rPr>
              <w:rFonts w:hint="eastAsia"/>
            </w:rPr>
            <w:fldChar w:fldCharType="separate"/>
          </w:r>
          <w:sdt>
            <w:sdtPr>
              <w:rPr>
                <w:rFonts w:hint="eastAsia" w:ascii="楷体_GB2312" w:hAnsi="楷体_GB2312" w:eastAsia="楷体_GB2312" w:cs="楷体_GB2312"/>
                <w:sz w:val="30"/>
                <w:szCs w:val="30"/>
              </w:rPr>
              <w:id w:val="1797868905"/>
              <w:placeholder>
                <w:docPart w:val="{0060c773-041e-4528-a06d-2914ab79ca53}"/>
              </w:placeholder>
              <w15:color w:val="509DF3"/>
            </w:sdtPr>
            <w:sdtEndPr>
              <w:rPr>
                <w:rFonts w:hint="eastAsia" w:ascii="楷体_GB2312" w:hAnsi="楷体_GB2312" w:eastAsia="楷体_GB2312" w:cs="楷体_GB2312"/>
                <w:sz w:val="30"/>
                <w:szCs w:val="30"/>
              </w:rPr>
            </w:sdtEndPr>
            <w:sdtContent>
              <w:r>
                <w:rPr>
                  <w:rFonts w:hint="eastAsia" w:ascii="楷体_GB2312" w:hAnsi="楷体_GB2312" w:eastAsia="楷体_GB2312" w:cs="楷体_GB2312"/>
                  <w:sz w:val="30"/>
                  <w:szCs w:val="30"/>
                </w:rPr>
                <w:t>2.1　组织体系</w:t>
              </w:r>
            </w:sdtContent>
          </w:sdt>
          <w:r>
            <w:rPr>
              <w:rFonts w:hint="eastAsia" w:ascii="楷体_GB2312" w:hAnsi="楷体_GB2312" w:eastAsia="楷体_GB2312" w:cs="楷体_GB2312"/>
              <w:sz w:val="30"/>
              <w:szCs w:val="30"/>
            </w:rPr>
            <w:tab/>
          </w:r>
          <w:r>
            <w:rPr>
              <w:rFonts w:hint="eastAsia" w:ascii="楷体_GB2312" w:hAnsi="楷体_GB2312" w:eastAsia="楷体_GB2312" w:cs="楷体_GB2312"/>
              <w:sz w:val="30"/>
              <w:szCs w:val="30"/>
            </w:rPr>
            <w:t>3</w:t>
          </w:r>
          <w:r>
            <w:rPr>
              <w:rFonts w:hint="eastAsia" w:ascii="楷体_GB2312" w:hAnsi="楷体_GB2312" w:eastAsia="楷体_GB2312" w:cs="楷体_GB2312"/>
              <w:sz w:val="30"/>
              <w:szCs w:val="30"/>
            </w:rPr>
            <w:fldChar w:fldCharType="end"/>
          </w:r>
        </w:p>
        <w:p>
          <w:pPr>
            <w:pStyle w:val="31"/>
            <w:tabs>
              <w:tab w:val="right" w:leader="dot" w:pos="8960"/>
            </w:tabs>
            <w:ind w:left="640"/>
          </w:pPr>
          <w:r>
            <w:rPr>
              <w:rFonts w:hint="eastAsia"/>
            </w:rPr>
            <w:fldChar w:fldCharType="begin"/>
          </w:r>
          <w:r>
            <w:instrText xml:space="preserve"> HYPERLINK \l "_Toc21736_WPSOffice_Level2" </w:instrText>
          </w:r>
          <w:r>
            <w:rPr>
              <w:rFonts w:hint="eastAsia"/>
            </w:rPr>
            <w:fldChar w:fldCharType="separate"/>
          </w:r>
          <w:sdt>
            <w:sdtPr>
              <w:rPr>
                <w:rFonts w:hint="eastAsia" w:ascii="楷体_GB2312" w:hAnsi="楷体_GB2312" w:eastAsia="楷体_GB2312" w:cs="楷体_GB2312"/>
                <w:sz w:val="30"/>
                <w:szCs w:val="30"/>
              </w:rPr>
              <w:id w:val="-123777275"/>
              <w:placeholder>
                <w:docPart w:val="{d110a63f-796d-4a57-a04f-2bdc2f4f9f93}"/>
              </w:placeholder>
              <w15:color w:val="509DF3"/>
            </w:sdtPr>
            <w:sdtEndPr>
              <w:rPr>
                <w:rFonts w:hint="eastAsia" w:ascii="楷体_GB2312" w:hAnsi="楷体_GB2312" w:eastAsia="楷体_GB2312" w:cs="楷体_GB2312"/>
                <w:sz w:val="30"/>
                <w:szCs w:val="30"/>
              </w:rPr>
            </w:sdtEndPr>
            <w:sdtContent>
              <w:r>
                <w:rPr>
                  <w:rFonts w:hint="eastAsia" w:ascii="楷体_GB2312" w:hAnsi="楷体_GB2312" w:eastAsia="楷体_GB2312" w:cs="楷体_GB2312"/>
                  <w:sz w:val="30"/>
                  <w:szCs w:val="30"/>
                </w:rPr>
                <w:t>2.2  职责分工</w:t>
              </w:r>
            </w:sdtContent>
          </w:sdt>
          <w:r>
            <w:rPr>
              <w:rFonts w:hint="eastAsia" w:ascii="楷体_GB2312" w:hAnsi="楷体_GB2312" w:eastAsia="楷体_GB2312" w:cs="楷体_GB2312"/>
              <w:sz w:val="30"/>
              <w:szCs w:val="30"/>
            </w:rPr>
            <w:tab/>
          </w:r>
          <w:r>
            <w:rPr>
              <w:rFonts w:hint="eastAsia" w:ascii="楷体_GB2312" w:hAnsi="楷体_GB2312" w:eastAsia="楷体_GB2312" w:cs="楷体_GB2312"/>
              <w:sz w:val="30"/>
              <w:szCs w:val="30"/>
            </w:rPr>
            <w:t>4</w:t>
          </w:r>
          <w:r>
            <w:rPr>
              <w:rFonts w:hint="eastAsia" w:ascii="楷体_GB2312" w:hAnsi="楷体_GB2312" w:eastAsia="楷体_GB2312" w:cs="楷体_GB2312"/>
              <w:sz w:val="30"/>
              <w:szCs w:val="30"/>
            </w:rPr>
            <w:fldChar w:fldCharType="end"/>
          </w:r>
        </w:p>
        <w:p>
          <w:pPr>
            <w:pStyle w:val="30"/>
            <w:tabs>
              <w:tab w:val="right" w:leader="dot" w:pos="8960"/>
            </w:tabs>
          </w:pPr>
          <w:r>
            <w:fldChar w:fldCharType="begin"/>
          </w:r>
          <w:r>
            <w:instrText xml:space="preserve"> HYPERLINK \l "_Toc14777_WPSOffice_Level1" </w:instrText>
          </w:r>
          <w:r>
            <w:fldChar w:fldCharType="separate"/>
          </w:r>
          <w:sdt>
            <w:sdtPr>
              <w:rPr>
                <w:rFonts w:eastAsia="仿宋_GB2312" w:cstheme="minorBidi"/>
                <w:b/>
                <w:bCs/>
                <w:kern w:val="2"/>
                <w:sz w:val="32"/>
                <w:szCs w:val="22"/>
              </w:rPr>
              <w:id w:val="-1212497225"/>
              <w:placeholder>
                <w:docPart w:val="{02451abf-fbbf-4e37-8c1c-a95380940cf2}"/>
              </w:placeholder>
              <w15:color w:val="509DF3"/>
            </w:sdtPr>
            <w:sdtEndPr>
              <w:rPr>
                <w:rFonts w:hint="eastAsia" w:ascii="宋体" w:hAnsi="宋体" w:eastAsia="黑体" w:cs="宋体"/>
                <w:b/>
                <w:bCs/>
                <w:kern w:val="0"/>
                <w:sz w:val="32"/>
                <w:szCs w:val="20"/>
              </w:rPr>
            </w:sdtEndPr>
            <w:sdtContent>
              <w:r>
                <w:rPr>
                  <w:rFonts w:hint="eastAsia" w:ascii="宋体" w:hAnsi="宋体" w:eastAsia="黑体" w:cs="宋体"/>
                  <w:b/>
                  <w:bCs/>
                  <w:sz w:val="32"/>
                </w:rPr>
                <w:t>3　预防预警</w:t>
              </w:r>
            </w:sdtContent>
          </w:sdt>
          <w:r>
            <w:rPr>
              <w:b/>
              <w:bCs/>
            </w:rPr>
            <w:tab/>
          </w:r>
          <w:r>
            <w:rPr>
              <w:b/>
              <w:bCs/>
            </w:rPr>
            <w:fldChar w:fldCharType="end"/>
          </w:r>
          <w:r>
            <w:rPr>
              <w:rFonts w:hint="eastAsia" w:ascii="楷体_GB2312" w:hAnsi="楷体_GB2312" w:eastAsia="楷体_GB2312" w:cs="楷体_GB2312"/>
              <w:sz w:val="30"/>
              <w:szCs w:val="30"/>
            </w:rPr>
            <w:t>6</w:t>
          </w:r>
        </w:p>
        <w:p>
          <w:pPr>
            <w:pStyle w:val="31"/>
            <w:tabs>
              <w:tab w:val="right" w:leader="dot" w:pos="8960"/>
            </w:tabs>
            <w:ind w:left="640"/>
            <w:rPr>
              <w:rFonts w:ascii="楷体_GB2312" w:hAnsi="楷体_GB2312" w:eastAsia="楷体_GB2312" w:cs="楷体_GB2312"/>
              <w:sz w:val="30"/>
              <w:szCs w:val="30"/>
            </w:rPr>
          </w:pPr>
          <w:r>
            <w:rPr>
              <w:rFonts w:hint="eastAsia"/>
            </w:rPr>
            <w:fldChar w:fldCharType="begin"/>
          </w:r>
          <w:r>
            <w:instrText xml:space="preserve"> HYPERLINK \l "_Toc21937_WPSOffice_Level2" </w:instrText>
          </w:r>
          <w:r>
            <w:rPr>
              <w:rFonts w:hint="eastAsia"/>
            </w:rPr>
            <w:fldChar w:fldCharType="separate"/>
          </w:r>
          <w:sdt>
            <w:sdtPr>
              <w:rPr>
                <w:rFonts w:hint="eastAsia" w:ascii="楷体_GB2312" w:hAnsi="楷体_GB2312" w:eastAsia="楷体_GB2312" w:cs="楷体_GB2312"/>
                <w:sz w:val="30"/>
                <w:szCs w:val="30"/>
              </w:rPr>
              <w:id w:val="1590270131"/>
              <w:placeholder>
                <w:docPart w:val="{7aa9968d-11a4-4417-9b8f-b54478c10587}"/>
              </w:placeholder>
              <w15:color w:val="509DF3"/>
            </w:sdtPr>
            <w:sdtEndPr>
              <w:rPr>
                <w:rFonts w:hint="eastAsia" w:ascii="楷体_GB2312" w:hAnsi="楷体_GB2312" w:eastAsia="楷体_GB2312" w:cs="楷体_GB2312"/>
                <w:sz w:val="30"/>
                <w:szCs w:val="30"/>
              </w:rPr>
            </w:sdtEndPr>
            <w:sdtContent>
              <w:r>
                <w:rPr>
                  <w:rFonts w:hint="eastAsia" w:ascii="楷体_GB2312" w:hAnsi="楷体_GB2312" w:eastAsia="楷体_GB2312" w:cs="楷体_GB2312"/>
                  <w:sz w:val="30"/>
                  <w:szCs w:val="30"/>
                </w:rPr>
                <w:t>3.1　预警信息</w:t>
              </w:r>
            </w:sdtContent>
          </w:sdt>
          <w:r>
            <w:rPr>
              <w:rFonts w:hint="eastAsia" w:ascii="楷体_GB2312" w:hAnsi="楷体_GB2312" w:eastAsia="楷体_GB2312" w:cs="楷体_GB2312"/>
              <w:sz w:val="30"/>
              <w:szCs w:val="30"/>
            </w:rPr>
            <w:tab/>
          </w:r>
          <w:r>
            <w:rPr>
              <w:rFonts w:hint="eastAsia" w:ascii="楷体_GB2312" w:hAnsi="楷体_GB2312" w:eastAsia="楷体_GB2312" w:cs="楷体_GB2312"/>
              <w:sz w:val="30"/>
              <w:szCs w:val="30"/>
            </w:rPr>
            <w:t>6</w:t>
          </w:r>
          <w:r>
            <w:rPr>
              <w:rFonts w:hint="eastAsia" w:ascii="楷体_GB2312" w:hAnsi="楷体_GB2312" w:eastAsia="楷体_GB2312" w:cs="楷体_GB2312"/>
              <w:sz w:val="30"/>
              <w:szCs w:val="30"/>
            </w:rPr>
            <w:fldChar w:fldCharType="end"/>
          </w:r>
        </w:p>
        <w:p>
          <w:pPr>
            <w:pStyle w:val="31"/>
            <w:tabs>
              <w:tab w:val="right" w:leader="dot" w:pos="8960"/>
            </w:tabs>
            <w:ind w:left="640"/>
            <w:rPr>
              <w:rFonts w:ascii="楷体_GB2312" w:hAnsi="楷体_GB2312" w:eastAsia="楷体_GB2312" w:cs="楷体_GB2312"/>
              <w:sz w:val="30"/>
              <w:szCs w:val="30"/>
            </w:rPr>
          </w:pPr>
          <w:r>
            <w:rPr>
              <w:rFonts w:hint="eastAsia"/>
            </w:rPr>
            <w:fldChar w:fldCharType="begin"/>
          </w:r>
          <w:r>
            <w:instrText xml:space="preserve"> HYPERLINK \l "_Toc19148_WPSOffice_Level2" </w:instrText>
          </w:r>
          <w:r>
            <w:rPr>
              <w:rFonts w:hint="eastAsia"/>
            </w:rPr>
            <w:fldChar w:fldCharType="separate"/>
          </w:r>
          <w:sdt>
            <w:sdtPr>
              <w:rPr>
                <w:rFonts w:hint="eastAsia" w:ascii="楷体_GB2312" w:hAnsi="楷体_GB2312" w:eastAsia="楷体_GB2312" w:cs="楷体_GB2312"/>
                <w:sz w:val="30"/>
                <w:szCs w:val="30"/>
              </w:rPr>
              <w:id w:val="1881894813"/>
              <w:placeholder>
                <w:docPart w:val="{0085e1f2-7791-4f02-8e73-de4ebff1e260}"/>
              </w:placeholder>
              <w15:color w:val="509DF3"/>
            </w:sdtPr>
            <w:sdtEndPr>
              <w:rPr>
                <w:rFonts w:hint="eastAsia" w:ascii="楷体_GB2312" w:hAnsi="楷体_GB2312" w:eastAsia="楷体_GB2312" w:cs="楷体_GB2312"/>
                <w:sz w:val="30"/>
                <w:szCs w:val="30"/>
              </w:rPr>
            </w:sdtEndPr>
            <w:sdtContent>
              <w:r>
                <w:rPr>
                  <w:rFonts w:hint="eastAsia" w:ascii="楷体_GB2312" w:hAnsi="楷体_GB2312" w:eastAsia="楷体_GB2312" w:cs="楷体_GB2312"/>
                  <w:sz w:val="30"/>
                  <w:szCs w:val="30"/>
                </w:rPr>
                <w:t>3.2　风险评估</w:t>
              </w:r>
            </w:sdtContent>
          </w:sdt>
          <w:r>
            <w:rPr>
              <w:rFonts w:hint="eastAsia" w:ascii="楷体_GB2312" w:hAnsi="楷体_GB2312" w:eastAsia="楷体_GB2312" w:cs="楷体_GB2312"/>
              <w:sz w:val="30"/>
              <w:szCs w:val="30"/>
            </w:rPr>
            <w:tab/>
          </w:r>
          <w:r>
            <w:rPr>
              <w:rFonts w:hint="eastAsia" w:ascii="楷体_GB2312" w:hAnsi="楷体_GB2312" w:eastAsia="楷体_GB2312" w:cs="楷体_GB2312"/>
              <w:sz w:val="30"/>
              <w:szCs w:val="30"/>
            </w:rPr>
            <w:t>7</w:t>
          </w:r>
          <w:r>
            <w:rPr>
              <w:rFonts w:hint="eastAsia" w:ascii="楷体_GB2312" w:hAnsi="楷体_GB2312" w:eastAsia="楷体_GB2312" w:cs="楷体_GB2312"/>
              <w:sz w:val="30"/>
              <w:szCs w:val="30"/>
            </w:rPr>
            <w:fldChar w:fldCharType="end"/>
          </w:r>
        </w:p>
        <w:p>
          <w:pPr>
            <w:pStyle w:val="31"/>
            <w:tabs>
              <w:tab w:val="right" w:leader="dot" w:pos="8960"/>
            </w:tabs>
            <w:ind w:left="640"/>
            <w:rPr>
              <w:rFonts w:ascii="楷体_GB2312" w:hAnsi="楷体_GB2312" w:eastAsia="楷体_GB2312" w:cs="楷体_GB2312"/>
              <w:sz w:val="30"/>
              <w:szCs w:val="30"/>
            </w:rPr>
          </w:pPr>
          <w:r>
            <w:rPr>
              <w:rFonts w:hint="eastAsia"/>
            </w:rPr>
            <w:fldChar w:fldCharType="begin"/>
          </w:r>
          <w:r>
            <w:instrText xml:space="preserve"> HYPERLINK \l "_Toc1796_WPSOffice_Level2" </w:instrText>
          </w:r>
          <w:r>
            <w:rPr>
              <w:rFonts w:hint="eastAsia"/>
            </w:rPr>
            <w:fldChar w:fldCharType="separate"/>
          </w:r>
          <w:sdt>
            <w:sdtPr>
              <w:rPr>
                <w:rFonts w:hint="eastAsia" w:ascii="楷体_GB2312" w:hAnsi="楷体_GB2312" w:eastAsia="楷体_GB2312" w:cs="楷体_GB2312"/>
                <w:sz w:val="30"/>
                <w:szCs w:val="30"/>
              </w:rPr>
              <w:id w:val="731045522"/>
              <w:placeholder>
                <w:docPart w:val="{4f6fbdfc-bde4-4235-bddc-ef6124edd0bf}"/>
              </w:placeholder>
              <w15:color w:val="509DF3"/>
            </w:sdtPr>
            <w:sdtEndPr>
              <w:rPr>
                <w:rFonts w:hint="eastAsia" w:ascii="楷体_GB2312" w:hAnsi="楷体_GB2312" w:eastAsia="楷体_GB2312" w:cs="楷体_GB2312"/>
                <w:sz w:val="30"/>
                <w:szCs w:val="30"/>
              </w:rPr>
            </w:sdtEndPr>
            <w:sdtContent>
              <w:r>
                <w:rPr>
                  <w:rFonts w:hint="eastAsia" w:ascii="楷体_GB2312" w:hAnsi="楷体_GB2312" w:eastAsia="楷体_GB2312" w:cs="楷体_GB2312"/>
                  <w:sz w:val="30"/>
                  <w:szCs w:val="30"/>
                </w:rPr>
                <w:t>3.3　风险防范</w:t>
              </w:r>
            </w:sdtContent>
          </w:sdt>
          <w:r>
            <w:rPr>
              <w:rFonts w:hint="eastAsia" w:ascii="楷体_GB2312" w:hAnsi="楷体_GB2312" w:eastAsia="楷体_GB2312" w:cs="楷体_GB2312"/>
              <w:sz w:val="30"/>
              <w:szCs w:val="30"/>
            </w:rPr>
            <w:tab/>
          </w:r>
          <w:r>
            <w:rPr>
              <w:rFonts w:hint="eastAsia" w:ascii="楷体_GB2312" w:hAnsi="楷体_GB2312" w:eastAsia="楷体_GB2312" w:cs="楷体_GB2312"/>
              <w:sz w:val="30"/>
              <w:szCs w:val="30"/>
            </w:rPr>
            <w:t>7</w:t>
          </w:r>
          <w:r>
            <w:rPr>
              <w:rFonts w:hint="eastAsia" w:ascii="楷体_GB2312" w:hAnsi="楷体_GB2312" w:eastAsia="楷体_GB2312" w:cs="楷体_GB2312"/>
              <w:sz w:val="30"/>
              <w:szCs w:val="30"/>
            </w:rPr>
            <w:fldChar w:fldCharType="end"/>
          </w:r>
        </w:p>
        <w:p>
          <w:pPr>
            <w:pStyle w:val="31"/>
            <w:tabs>
              <w:tab w:val="right" w:leader="dot" w:pos="8960"/>
            </w:tabs>
            <w:ind w:left="640"/>
          </w:pPr>
          <w:r>
            <w:rPr>
              <w:rFonts w:hint="eastAsia"/>
            </w:rPr>
            <w:fldChar w:fldCharType="begin"/>
          </w:r>
          <w:r>
            <w:instrText xml:space="preserve"> HYPERLINK \l "_Toc14833_WPSOffice_Level2" </w:instrText>
          </w:r>
          <w:r>
            <w:rPr>
              <w:rFonts w:hint="eastAsia"/>
            </w:rPr>
            <w:fldChar w:fldCharType="separate"/>
          </w:r>
          <w:sdt>
            <w:sdtPr>
              <w:rPr>
                <w:rFonts w:hint="eastAsia" w:ascii="楷体_GB2312" w:hAnsi="楷体_GB2312" w:eastAsia="楷体_GB2312" w:cs="楷体_GB2312"/>
                <w:sz w:val="30"/>
                <w:szCs w:val="30"/>
              </w:rPr>
              <w:id w:val="-322736312"/>
              <w:placeholder>
                <w:docPart w:val="{9d03ba5a-2469-466f-980d-81459f6c0da3}"/>
              </w:placeholder>
              <w15:color w:val="509DF3"/>
            </w:sdtPr>
            <w:sdtEndPr>
              <w:rPr>
                <w:rFonts w:hint="eastAsia" w:ascii="楷体_GB2312" w:hAnsi="楷体_GB2312" w:eastAsia="楷体_GB2312" w:cs="楷体_GB2312"/>
                <w:sz w:val="30"/>
                <w:szCs w:val="30"/>
              </w:rPr>
            </w:sdtEndPr>
            <w:sdtContent>
              <w:r>
                <w:rPr>
                  <w:rFonts w:hint="eastAsia" w:ascii="楷体_GB2312" w:hAnsi="楷体_GB2312" w:eastAsia="楷体_GB2312" w:cs="楷体_GB2312"/>
                  <w:sz w:val="30"/>
                  <w:szCs w:val="30"/>
                </w:rPr>
                <w:t>3.4　预警响应</w:t>
              </w:r>
            </w:sdtContent>
          </w:sdt>
          <w:r>
            <w:rPr>
              <w:rFonts w:hint="eastAsia" w:ascii="楷体_GB2312" w:hAnsi="楷体_GB2312" w:eastAsia="楷体_GB2312" w:cs="楷体_GB2312"/>
              <w:sz w:val="30"/>
              <w:szCs w:val="30"/>
            </w:rPr>
            <w:tab/>
          </w:r>
          <w:r>
            <w:rPr>
              <w:rFonts w:hint="eastAsia" w:ascii="楷体_GB2312" w:hAnsi="楷体_GB2312" w:eastAsia="楷体_GB2312" w:cs="楷体_GB2312"/>
              <w:sz w:val="30"/>
              <w:szCs w:val="30"/>
            </w:rPr>
            <w:t>8</w:t>
          </w:r>
          <w:r>
            <w:rPr>
              <w:rFonts w:hint="eastAsia" w:ascii="楷体_GB2312" w:hAnsi="楷体_GB2312" w:eastAsia="楷体_GB2312" w:cs="楷体_GB2312"/>
              <w:sz w:val="30"/>
              <w:szCs w:val="30"/>
            </w:rPr>
            <w:fldChar w:fldCharType="end"/>
          </w:r>
        </w:p>
        <w:p>
          <w:pPr>
            <w:pStyle w:val="30"/>
            <w:tabs>
              <w:tab w:val="right" w:leader="dot" w:pos="8960"/>
            </w:tabs>
          </w:pPr>
          <w:r>
            <w:rPr>
              <w:rFonts w:hint="eastAsia"/>
            </w:rPr>
            <w:fldChar w:fldCharType="begin"/>
          </w:r>
          <w:r>
            <w:instrText xml:space="preserve"> HYPERLINK \l "_Toc31801_WPSOffice_Level1" </w:instrText>
          </w:r>
          <w:r>
            <w:rPr>
              <w:rFonts w:hint="eastAsia"/>
            </w:rPr>
            <w:fldChar w:fldCharType="separate"/>
          </w:r>
          <w:sdt>
            <w:sdtPr>
              <w:rPr>
                <w:rFonts w:eastAsia="仿宋_GB2312" w:cstheme="minorBidi"/>
                <w:b/>
                <w:bCs/>
                <w:kern w:val="2"/>
                <w:sz w:val="32"/>
                <w:szCs w:val="22"/>
              </w:rPr>
              <w:id w:val="1746140524"/>
              <w:placeholder>
                <w:docPart w:val="{7e051068-5e55-49ac-bd23-fa332eb13634}"/>
              </w:placeholder>
              <w15:color w:val="509DF3"/>
            </w:sdtPr>
            <w:sdtEndPr>
              <w:rPr>
                <w:rFonts w:eastAsia="仿宋_GB2312" w:cstheme="minorBidi"/>
                <w:b/>
                <w:bCs/>
                <w:kern w:val="2"/>
                <w:sz w:val="32"/>
                <w:szCs w:val="22"/>
              </w:rPr>
            </w:sdtEndPr>
            <w:sdtContent>
              <w:r>
                <w:rPr>
                  <w:rFonts w:hint="eastAsia" w:ascii="宋体" w:hAnsi="宋体" w:eastAsia="黑体" w:cs="宋体"/>
                  <w:b/>
                  <w:bCs/>
                  <w:sz w:val="32"/>
                </w:rPr>
                <w:t>4　金融突发事件的等级</w:t>
              </w:r>
            </w:sdtContent>
          </w:sdt>
          <w:r>
            <w:rPr>
              <w:b/>
              <w:bCs/>
            </w:rPr>
            <w:tab/>
          </w:r>
          <w:r>
            <w:rPr>
              <w:rFonts w:hint="eastAsia" w:ascii="宋体" w:hAnsi="宋体" w:eastAsia="黑体" w:cs="宋体"/>
              <w:b/>
              <w:bCs/>
              <w:sz w:val="32"/>
            </w:rPr>
            <w:t>8</w:t>
          </w:r>
          <w:r>
            <w:rPr>
              <w:rFonts w:hint="eastAsia" w:ascii="宋体" w:hAnsi="宋体" w:eastAsia="黑体" w:cs="宋体"/>
              <w:b/>
              <w:bCs/>
              <w:sz w:val="32"/>
            </w:rPr>
            <w:fldChar w:fldCharType="end"/>
          </w:r>
        </w:p>
        <w:p>
          <w:pPr>
            <w:pStyle w:val="31"/>
            <w:tabs>
              <w:tab w:val="right" w:leader="dot" w:pos="8960"/>
            </w:tabs>
            <w:ind w:left="640"/>
            <w:rPr>
              <w:rFonts w:ascii="楷体_GB2312" w:hAnsi="楷体_GB2312" w:eastAsia="楷体_GB2312" w:cs="楷体_GB2312"/>
              <w:sz w:val="30"/>
              <w:szCs w:val="30"/>
            </w:rPr>
          </w:pPr>
          <w:r>
            <w:rPr>
              <w:rFonts w:hint="eastAsia"/>
            </w:rPr>
            <w:fldChar w:fldCharType="begin"/>
          </w:r>
          <w:r>
            <w:instrText xml:space="preserve"> HYPERLINK \l "_Toc31706_WPSOffice_Level2" </w:instrText>
          </w:r>
          <w:r>
            <w:rPr>
              <w:rFonts w:hint="eastAsia"/>
            </w:rPr>
            <w:fldChar w:fldCharType="separate"/>
          </w:r>
          <w:sdt>
            <w:sdtPr>
              <w:rPr>
                <w:rFonts w:hint="eastAsia" w:ascii="楷体_GB2312" w:hAnsi="楷体_GB2312" w:eastAsia="楷体_GB2312" w:cs="楷体_GB2312"/>
                <w:sz w:val="30"/>
                <w:szCs w:val="30"/>
              </w:rPr>
              <w:id w:val="-1907208996"/>
              <w:placeholder>
                <w:docPart w:val="{39591a55-7d70-4649-92bd-efec9f9a2e32}"/>
              </w:placeholder>
              <w15:color w:val="509DF3"/>
            </w:sdtPr>
            <w:sdtEndPr>
              <w:rPr>
                <w:rFonts w:hint="eastAsia" w:ascii="楷体_GB2312" w:hAnsi="楷体_GB2312" w:eastAsia="楷体_GB2312" w:cs="楷体_GB2312"/>
                <w:sz w:val="30"/>
                <w:szCs w:val="30"/>
              </w:rPr>
            </w:sdtEndPr>
            <w:sdtContent>
              <w:r>
                <w:rPr>
                  <w:rFonts w:hint="eastAsia" w:ascii="楷体_GB2312" w:hAnsi="楷体_GB2312" w:eastAsia="楷体_GB2312" w:cs="楷体_GB2312"/>
                  <w:sz w:val="30"/>
                  <w:szCs w:val="30"/>
                </w:rPr>
                <w:t>4.1　分级原则</w:t>
              </w:r>
            </w:sdtContent>
          </w:sdt>
          <w:r>
            <w:rPr>
              <w:rFonts w:hint="eastAsia" w:ascii="楷体_GB2312" w:hAnsi="楷体_GB2312" w:eastAsia="楷体_GB2312" w:cs="楷体_GB2312"/>
              <w:sz w:val="30"/>
              <w:szCs w:val="30"/>
            </w:rPr>
            <w:tab/>
          </w:r>
          <w:r>
            <w:rPr>
              <w:rFonts w:hint="eastAsia" w:ascii="楷体_GB2312" w:hAnsi="楷体_GB2312" w:eastAsia="楷体_GB2312" w:cs="楷体_GB2312"/>
              <w:sz w:val="30"/>
              <w:szCs w:val="30"/>
            </w:rPr>
            <w:t>8</w:t>
          </w:r>
          <w:r>
            <w:rPr>
              <w:rFonts w:hint="eastAsia" w:ascii="楷体_GB2312" w:hAnsi="楷体_GB2312" w:eastAsia="楷体_GB2312" w:cs="楷体_GB2312"/>
              <w:sz w:val="30"/>
              <w:szCs w:val="30"/>
            </w:rPr>
            <w:fldChar w:fldCharType="end"/>
          </w:r>
        </w:p>
        <w:p>
          <w:pPr>
            <w:pStyle w:val="31"/>
            <w:tabs>
              <w:tab w:val="right" w:leader="dot" w:pos="8960"/>
            </w:tabs>
            <w:ind w:left="640"/>
            <w:rPr>
              <w:rFonts w:ascii="楷体_GB2312" w:hAnsi="楷体_GB2312" w:eastAsia="楷体_GB2312" w:cs="楷体_GB2312"/>
              <w:sz w:val="30"/>
              <w:szCs w:val="30"/>
            </w:rPr>
          </w:pPr>
          <w:r>
            <w:rPr>
              <w:rFonts w:hint="eastAsia"/>
            </w:rPr>
            <w:fldChar w:fldCharType="begin"/>
          </w:r>
          <w:r>
            <w:instrText xml:space="preserve"> HYPERLINK \l "_Toc12737_WPSOffice_Level2" </w:instrText>
          </w:r>
          <w:r>
            <w:rPr>
              <w:rFonts w:hint="eastAsia"/>
            </w:rPr>
            <w:fldChar w:fldCharType="separate"/>
          </w:r>
          <w:sdt>
            <w:sdtPr>
              <w:rPr>
                <w:rFonts w:hint="eastAsia" w:ascii="楷体_GB2312" w:hAnsi="楷体_GB2312" w:eastAsia="楷体_GB2312" w:cs="楷体_GB2312"/>
                <w:sz w:val="30"/>
                <w:szCs w:val="30"/>
              </w:rPr>
              <w:id w:val="-616059965"/>
              <w:placeholder>
                <w:docPart w:val="{c6c3db95-6cc6-4458-93c5-101ec1354fd0}"/>
              </w:placeholder>
              <w15:color w:val="509DF3"/>
            </w:sdtPr>
            <w:sdtEndPr>
              <w:rPr>
                <w:rFonts w:hint="eastAsia" w:ascii="楷体_GB2312" w:hAnsi="楷体_GB2312" w:eastAsia="楷体_GB2312" w:cs="楷体_GB2312"/>
                <w:sz w:val="30"/>
                <w:szCs w:val="30"/>
              </w:rPr>
            </w:sdtEndPr>
            <w:sdtContent>
              <w:r>
                <w:rPr>
                  <w:rFonts w:hint="eastAsia" w:ascii="楷体_GB2312" w:hAnsi="楷体_GB2312" w:eastAsia="楷体_GB2312" w:cs="楷体_GB2312"/>
                  <w:sz w:val="30"/>
                  <w:szCs w:val="30"/>
                </w:rPr>
                <w:t>4.2　Ⅰ级：特别重大金融突发事件</w:t>
              </w:r>
            </w:sdtContent>
          </w:sdt>
          <w:r>
            <w:rPr>
              <w:rFonts w:hint="eastAsia" w:ascii="楷体_GB2312" w:hAnsi="楷体_GB2312" w:eastAsia="楷体_GB2312" w:cs="楷体_GB2312"/>
              <w:sz w:val="30"/>
              <w:szCs w:val="30"/>
            </w:rPr>
            <w:tab/>
          </w:r>
          <w:r>
            <w:rPr>
              <w:rFonts w:hint="eastAsia" w:ascii="楷体_GB2312" w:hAnsi="楷体_GB2312" w:eastAsia="楷体_GB2312" w:cs="楷体_GB2312"/>
              <w:sz w:val="30"/>
              <w:szCs w:val="30"/>
            </w:rPr>
            <w:t>9</w:t>
          </w:r>
          <w:r>
            <w:rPr>
              <w:rFonts w:hint="eastAsia" w:ascii="楷体_GB2312" w:hAnsi="楷体_GB2312" w:eastAsia="楷体_GB2312" w:cs="楷体_GB2312"/>
              <w:sz w:val="30"/>
              <w:szCs w:val="30"/>
            </w:rPr>
            <w:fldChar w:fldCharType="end"/>
          </w:r>
        </w:p>
        <w:p>
          <w:pPr>
            <w:pStyle w:val="31"/>
            <w:tabs>
              <w:tab w:val="right" w:leader="dot" w:pos="8960"/>
            </w:tabs>
            <w:ind w:left="640"/>
            <w:rPr>
              <w:rFonts w:ascii="楷体_GB2312" w:hAnsi="楷体_GB2312" w:eastAsia="楷体_GB2312" w:cs="楷体_GB2312"/>
              <w:sz w:val="30"/>
              <w:szCs w:val="30"/>
            </w:rPr>
          </w:pPr>
          <w:r>
            <w:rPr>
              <w:rFonts w:hint="eastAsia"/>
            </w:rPr>
            <w:fldChar w:fldCharType="begin"/>
          </w:r>
          <w:r>
            <w:instrText xml:space="preserve"> HYPERLINK \l "_Toc14869_WPSOffice_Level2" </w:instrText>
          </w:r>
          <w:r>
            <w:rPr>
              <w:rFonts w:hint="eastAsia"/>
            </w:rPr>
            <w:fldChar w:fldCharType="separate"/>
          </w:r>
          <w:sdt>
            <w:sdtPr>
              <w:rPr>
                <w:rFonts w:hint="eastAsia" w:ascii="楷体_GB2312" w:hAnsi="楷体_GB2312" w:eastAsia="楷体_GB2312" w:cs="楷体_GB2312"/>
                <w:sz w:val="30"/>
                <w:szCs w:val="30"/>
              </w:rPr>
              <w:id w:val="-1111810528"/>
              <w:placeholder>
                <w:docPart w:val="{69b0921e-bbba-4f1a-baf8-7f682e41ad26}"/>
              </w:placeholder>
              <w15:color w:val="509DF3"/>
            </w:sdtPr>
            <w:sdtEndPr>
              <w:rPr>
                <w:rFonts w:hint="eastAsia" w:ascii="楷体_GB2312" w:hAnsi="楷体_GB2312" w:eastAsia="楷体_GB2312" w:cs="楷体_GB2312"/>
                <w:sz w:val="30"/>
                <w:szCs w:val="30"/>
              </w:rPr>
            </w:sdtEndPr>
            <w:sdtContent>
              <w:r>
                <w:rPr>
                  <w:rFonts w:hint="eastAsia" w:ascii="楷体_GB2312" w:hAnsi="楷体_GB2312" w:eastAsia="楷体_GB2312" w:cs="楷体_GB2312"/>
                  <w:sz w:val="30"/>
                  <w:szCs w:val="30"/>
                </w:rPr>
                <w:t>4.3　Ⅱ级：重大金融突发事件</w:t>
              </w:r>
            </w:sdtContent>
          </w:sdt>
          <w:r>
            <w:rPr>
              <w:rFonts w:hint="eastAsia" w:ascii="楷体_GB2312" w:hAnsi="楷体_GB2312" w:eastAsia="楷体_GB2312" w:cs="楷体_GB2312"/>
              <w:sz w:val="30"/>
              <w:szCs w:val="30"/>
            </w:rPr>
            <w:tab/>
          </w:r>
          <w:r>
            <w:rPr>
              <w:rFonts w:hint="eastAsia" w:ascii="楷体_GB2312" w:hAnsi="楷体_GB2312" w:eastAsia="楷体_GB2312" w:cs="楷体_GB2312"/>
              <w:sz w:val="30"/>
              <w:szCs w:val="30"/>
            </w:rPr>
            <w:t>9</w:t>
          </w:r>
          <w:r>
            <w:rPr>
              <w:rFonts w:hint="eastAsia" w:ascii="楷体_GB2312" w:hAnsi="楷体_GB2312" w:eastAsia="楷体_GB2312" w:cs="楷体_GB2312"/>
              <w:sz w:val="30"/>
              <w:szCs w:val="30"/>
            </w:rPr>
            <w:fldChar w:fldCharType="end"/>
          </w:r>
        </w:p>
        <w:p>
          <w:pPr>
            <w:pStyle w:val="31"/>
            <w:tabs>
              <w:tab w:val="right" w:leader="dot" w:pos="8960"/>
            </w:tabs>
            <w:ind w:left="640"/>
            <w:rPr>
              <w:rFonts w:ascii="楷体_GB2312" w:hAnsi="楷体_GB2312" w:eastAsia="楷体_GB2312" w:cs="楷体_GB2312"/>
              <w:sz w:val="30"/>
              <w:szCs w:val="30"/>
            </w:rPr>
          </w:pPr>
          <w:r>
            <w:rPr>
              <w:rFonts w:hint="eastAsia"/>
            </w:rPr>
            <w:fldChar w:fldCharType="begin"/>
          </w:r>
          <w:r>
            <w:instrText xml:space="preserve"> HYPERLINK \l "_Toc3120_WPSOffice_Level2" </w:instrText>
          </w:r>
          <w:r>
            <w:rPr>
              <w:rFonts w:hint="eastAsia"/>
            </w:rPr>
            <w:fldChar w:fldCharType="separate"/>
          </w:r>
          <w:sdt>
            <w:sdtPr>
              <w:rPr>
                <w:rFonts w:hint="eastAsia" w:ascii="楷体_GB2312" w:hAnsi="楷体_GB2312" w:eastAsia="楷体_GB2312" w:cs="楷体_GB2312"/>
                <w:sz w:val="30"/>
                <w:szCs w:val="30"/>
              </w:rPr>
              <w:id w:val="127216908"/>
              <w:placeholder>
                <w:docPart w:val="{accd790d-eee1-4dcf-b2fd-9504f2570de6}"/>
              </w:placeholder>
              <w15:color w:val="509DF3"/>
            </w:sdtPr>
            <w:sdtEndPr>
              <w:rPr>
                <w:rFonts w:hint="eastAsia" w:ascii="楷体_GB2312" w:hAnsi="楷体_GB2312" w:eastAsia="楷体_GB2312" w:cs="楷体_GB2312"/>
                <w:sz w:val="30"/>
                <w:szCs w:val="30"/>
              </w:rPr>
            </w:sdtEndPr>
            <w:sdtContent>
              <w:r>
                <w:rPr>
                  <w:rFonts w:hint="eastAsia" w:ascii="楷体_GB2312" w:hAnsi="楷体_GB2312" w:eastAsia="楷体_GB2312" w:cs="楷体_GB2312"/>
                  <w:sz w:val="30"/>
                  <w:szCs w:val="30"/>
                </w:rPr>
                <w:t>4.4　Ⅲ级：较大金融突发事件</w:t>
              </w:r>
            </w:sdtContent>
          </w:sdt>
          <w:r>
            <w:rPr>
              <w:rFonts w:hint="eastAsia" w:ascii="楷体_GB2312" w:hAnsi="楷体_GB2312" w:eastAsia="楷体_GB2312" w:cs="楷体_GB2312"/>
              <w:sz w:val="30"/>
              <w:szCs w:val="30"/>
            </w:rPr>
            <w:tab/>
          </w:r>
          <w:r>
            <w:rPr>
              <w:rFonts w:hint="eastAsia" w:ascii="楷体_GB2312" w:hAnsi="楷体_GB2312" w:eastAsia="楷体_GB2312" w:cs="楷体_GB2312"/>
              <w:sz w:val="30"/>
              <w:szCs w:val="30"/>
            </w:rPr>
            <w:t>9</w:t>
          </w:r>
          <w:r>
            <w:rPr>
              <w:rFonts w:hint="eastAsia" w:ascii="楷体_GB2312" w:hAnsi="楷体_GB2312" w:eastAsia="楷体_GB2312" w:cs="楷体_GB2312"/>
              <w:sz w:val="30"/>
              <w:szCs w:val="30"/>
            </w:rPr>
            <w:fldChar w:fldCharType="end"/>
          </w:r>
        </w:p>
        <w:p>
          <w:pPr>
            <w:pStyle w:val="31"/>
            <w:tabs>
              <w:tab w:val="right" w:leader="dot" w:pos="8960"/>
            </w:tabs>
            <w:ind w:left="640"/>
            <w:sectPr>
              <w:headerReference r:id="rId7" w:type="first"/>
              <w:footerReference r:id="rId10" w:type="first"/>
              <w:headerReference r:id="rId5" w:type="default"/>
              <w:footerReference r:id="rId8" w:type="default"/>
              <w:headerReference r:id="rId6" w:type="even"/>
              <w:footerReference r:id="rId9" w:type="even"/>
              <w:pgSz w:w="11906" w:h="16838"/>
              <w:pgMar w:top="1440" w:right="1466" w:bottom="1440" w:left="1480" w:header="851" w:footer="992" w:gutter="0"/>
              <w:pgNumType w:fmt="numberInDash"/>
              <w:cols w:space="425" w:num="1"/>
              <w:docGrid w:type="lines" w:linePitch="312" w:charSpace="0"/>
            </w:sectPr>
          </w:pPr>
        </w:p>
        <w:p>
          <w:pPr>
            <w:pStyle w:val="31"/>
            <w:tabs>
              <w:tab w:val="right" w:leader="dot" w:pos="8960"/>
            </w:tabs>
            <w:ind w:left="640"/>
            <w:rPr>
              <w:rFonts w:eastAsia="楷体_GB2312"/>
            </w:rPr>
          </w:pPr>
          <w:r>
            <w:rPr>
              <w:rFonts w:hint="eastAsia"/>
            </w:rPr>
            <w:fldChar w:fldCharType="begin"/>
          </w:r>
          <w:r>
            <w:instrText xml:space="preserve"> HYPERLINK \l "_Toc22795_WPSOffice_Level2" </w:instrText>
          </w:r>
          <w:r>
            <w:rPr>
              <w:rFonts w:hint="eastAsia"/>
            </w:rPr>
            <w:fldChar w:fldCharType="separate"/>
          </w:r>
          <w:sdt>
            <w:sdtPr>
              <w:rPr>
                <w:rFonts w:hint="eastAsia" w:ascii="楷体_GB2312" w:hAnsi="楷体_GB2312" w:eastAsia="楷体_GB2312" w:cs="楷体_GB2312"/>
                <w:sz w:val="30"/>
                <w:szCs w:val="30"/>
              </w:rPr>
              <w:id w:val="-2012446575"/>
              <w:placeholder>
                <w:docPart w:val="{3ba0bbea-4788-42bb-b80d-ed1ded7efa08}"/>
              </w:placeholder>
              <w15:color w:val="509DF3"/>
            </w:sdtPr>
            <w:sdtEndPr>
              <w:rPr>
                <w:rFonts w:hint="eastAsia" w:ascii="楷体_GB2312" w:hAnsi="楷体_GB2312" w:eastAsia="楷体_GB2312" w:cs="楷体_GB2312"/>
                <w:sz w:val="30"/>
                <w:szCs w:val="30"/>
              </w:rPr>
            </w:sdtEndPr>
            <w:sdtContent>
              <w:r>
                <w:rPr>
                  <w:rFonts w:hint="eastAsia" w:ascii="楷体_GB2312" w:hAnsi="楷体_GB2312" w:eastAsia="楷体_GB2312" w:cs="楷体_GB2312"/>
                  <w:sz w:val="30"/>
                  <w:szCs w:val="30"/>
                </w:rPr>
                <w:t>4.5　Ⅳ级：一般金融突发事件</w:t>
              </w:r>
            </w:sdtContent>
          </w:sdt>
          <w:r>
            <w:rPr>
              <w:rFonts w:hint="eastAsia" w:ascii="楷体_GB2312" w:hAnsi="楷体_GB2312" w:eastAsia="楷体_GB2312" w:cs="楷体_GB2312"/>
              <w:sz w:val="30"/>
              <w:szCs w:val="30"/>
            </w:rPr>
            <w:tab/>
          </w:r>
          <w:r>
            <w:rPr>
              <w:rFonts w:hint="eastAsia" w:ascii="楷体_GB2312" w:hAnsi="楷体_GB2312" w:eastAsia="楷体_GB2312" w:cs="楷体_GB2312"/>
              <w:sz w:val="30"/>
              <w:szCs w:val="30"/>
            </w:rPr>
            <w:t>1</w:t>
          </w:r>
          <w:r>
            <w:rPr>
              <w:rFonts w:hint="eastAsia" w:ascii="楷体_GB2312" w:hAnsi="楷体_GB2312" w:eastAsia="楷体_GB2312" w:cs="楷体_GB2312"/>
              <w:sz w:val="30"/>
              <w:szCs w:val="30"/>
            </w:rPr>
            <w:fldChar w:fldCharType="end"/>
          </w:r>
          <w:r>
            <w:rPr>
              <w:rFonts w:hint="eastAsia" w:ascii="楷体_GB2312" w:hAnsi="楷体_GB2312" w:eastAsia="楷体_GB2312" w:cs="楷体_GB2312"/>
              <w:sz w:val="30"/>
              <w:szCs w:val="30"/>
            </w:rPr>
            <w:t>0</w:t>
          </w:r>
        </w:p>
        <w:p>
          <w:pPr>
            <w:pStyle w:val="30"/>
            <w:tabs>
              <w:tab w:val="right" w:leader="dot" w:pos="8960"/>
            </w:tabs>
            <w:rPr>
              <w:rFonts w:eastAsia="黑体"/>
            </w:rPr>
          </w:pPr>
          <w:r>
            <w:rPr>
              <w:rFonts w:hint="eastAsia"/>
            </w:rPr>
            <w:fldChar w:fldCharType="begin"/>
          </w:r>
          <w:r>
            <w:instrText xml:space="preserve"> HYPERLINK \l "_Toc21841_WPSOffice_Level1" </w:instrText>
          </w:r>
          <w:r>
            <w:rPr>
              <w:rFonts w:hint="eastAsia"/>
            </w:rPr>
            <w:fldChar w:fldCharType="separate"/>
          </w:r>
          <w:sdt>
            <w:sdtPr>
              <w:rPr>
                <w:rFonts w:eastAsia="仿宋_GB2312" w:cstheme="minorBidi"/>
                <w:b/>
                <w:bCs/>
                <w:kern w:val="2"/>
                <w:sz w:val="32"/>
                <w:szCs w:val="22"/>
              </w:rPr>
              <w:id w:val="-1939129702"/>
              <w:placeholder>
                <w:docPart w:val="{6fb757e0-dabf-417a-be0e-66e68fc7d688}"/>
              </w:placeholder>
              <w15:color w:val="509DF3"/>
            </w:sdtPr>
            <w:sdtEndPr>
              <w:rPr>
                <w:rFonts w:hint="eastAsia" w:ascii="宋体" w:hAnsi="宋体" w:eastAsia="黑体" w:cs="宋体"/>
                <w:b/>
                <w:bCs/>
                <w:kern w:val="0"/>
                <w:sz w:val="32"/>
                <w:szCs w:val="20"/>
              </w:rPr>
            </w:sdtEndPr>
            <w:sdtContent>
              <w:r>
                <w:rPr>
                  <w:rFonts w:hint="eastAsia" w:ascii="宋体" w:hAnsi="宋体" w:eastAsia="黑体" w:cs="宋体"/>
                  <w:b/>
                  <w:bCs/>
                  <w:sz w:val="32"/>
                </w:rPr>
                <w:t>5　应急处置程序</w:t>
              </w:r>
            </w:sdtContent>
          </w:sdt>
          <w:r>
            <w:rPr>
              <w:b/>
              <w:bCs/>
            </w:rPr>
            <w:tab/>
          </w:r>
          <w:r>
            <w:rPr>
              <w:rFonts w:hint="eastAsia" w:ascii="宋体" w:hAnsi="宋体" w:eastAsia="黑体" w:cs="宋体"/>
              <w:b/>
              <w:bCs/>
              <w:sz w:val="32"/>
            </w:rPr>
            <w:t>1</w:t>
          </w:r>
          <w:r>
            <w:rPr>
              <w:rFonts w:hint="eastAsia" w:ascii="宋体" w:hAnsi="宋体" w:eastAsia="黑体" w:cs="宋体"/>
              <w:b/>
              <w:bCs/>
              <w:sz w:val="32"/>
            </w:rPr>
            <w:fldChar w:fldCharType="end"/>
          </w:r>
          <w:r>
            <w:rPr>
              <w:rFonts w:hint="eastAsia" w:ascii="宋体" w:hAnsi="宋体" w:eastAsia="黑体" w:cs="宋体"/>
              <w:b/>
              <w:bCs/>
              <w:sz w:val="32"/>
            </w:rPr>
            <w:t>0</w:t>
          </w:r>
        </w:p>
        <w:p>
          <w:pPr>
            <w:pStyle w:val="31"/>
            <w:tabs>
              <w:tab w:val="right" w:leader="dot" w:pos="8960"/>
            </w:tabs>
            <w:ind w:left="640"/>
            <w:rPr>
              <w:rFonts w:ascii="楷体_GB2312" w:hAnsi="楷体_GB2312" w:eastAsia="楷体_GB2312" w:cs="楷体_GB2312"/>
              <w:sz w:val="30"/>
              <w:szCs w:val="30"/>
            </w:rPr>
          </w:pPr>
          <w:r>
            <w:rPr>
              <w:rFonts w:hint="eastAsia"/>
            </w:rPr>
            <w:fldChar w:fldCharType="begin"/>
          </w:r>
          <w:r>
            <w:instrText xml:space="preserve"> HYPERLINK \l "_Toc23459_WPSOffice_Level2" </w:instrText>
          </w:r>
          <w:r>
            <w:rPr>
              <w:rFonts w:hint="eastAsia"/>
            </w:rPr>
            <w:fldChar w:fldCharType="separate"/>
          </w:r>
          <w:sdt>
            <w:sdtPr>
              <w:rPr>
                <w:rFonts w:hint="eastAsia" w:ascii="楷体_GB2312" w:hAnsi="楷体_GB2312" w:eastAsia="楷体_GB2312" w:cs="楷体_GB2312"/>
                <w:sz w:val="30"/>
                <w:szCs w:val="30"/>
              </w:rPr>
              <w:id w:val="-2004271999"/>
              <w:placeholder>
                <w:docPart w:val="{11d18b68-4c4e-4327-bbd9-b971edac08bf}"/>
              </w:placeholder>
              <w15:color w:val="509DF3"/>
            </w:sdtPr>
            <w:sdtEndPr>
              <w:rPr>
                <w:rFonts w:hint="eastAsia" w:ascii="楷体_GB2312" w:hAnsi="楷体_GB2312" w:eastAsia="楷体_GB2312" w:cs="楷体_GB2312"/>
                <w:sz w:val="30"/>
                <w:szCs w:val="30"/>
              </w:rPr>
            </w:sdtEndPr>
            <w:sdtContent>
              <w:r>
                <w:rPr>
                  <w:rFonts w:hint="eastAsia" w:ascii="楷体_GB2312" w:hAnsi="楷体_GB2312" w:eastAsia="楷体_GB2312" w:cs="楷体_GB2312"/>
                  <w:sz w:val="30"/>
                  <w:szCs w:val="30"/>
                </w:rPr>
                <w:t>5.1　情况报告</w:t>
              </w:r>
            </w:sdtContent>
          </w:sdt>
          <w:r>
            <w:rPr>
              <w:rFonts w:hint="eastAsia" w:ascii="楷体_GB2312" w:hAnsi="楷体_GB2312" w:eastAsia="楷体_GB2312" w:cs="楷体_GB2312"/>
              <w:sz w:val="30"/>
              <w:szCs w:val="30"/>
            </w:rPr>
            <w:tab/>
          </w:r>
          <w:r>
            <w:rPr>
              <w:rFonts w:hint="eastAsia" w:ascii="楷体_GB2312" w:hAnsi="楷体_GB2312" w:eastAsia="楷体_GB2312" w:cs="楷体_GB2312"/>
              <w:sz w:val="30"/>
              <w:szCs w:val="30"/>
            </w:rPr>
            <w:t>1</w:t>
          </w:r>
          <w:r>
            <w:rPr>
              <w:rFonts w:hint="eastAsia" w:ascii="楷体_GB2312" w:hAnsi="楷体_GB2312" w:eastAsia="楷体_GB2312" w:cs="楷体_GB2312"/>
              <w:sz w:val="30"/>
              <w:szCs w:val="30"/>
            </w:rPr>
            <w:fldChar w:fldCharType="end"/>
          </w:r>
          <w:r>
            <w:rPr>
              <w:rFonts w:hint="eastAsia" w:ascii="楷体_GB2312" w:hAnsi="楷体_GB2312" w:eastAsia="楷体_GB2312" w:cs="楷体_GB2312"/>
              <w:sz w:val="30"/>
              <w:szCs w:val="30"/>
            </w:rPr>
            <w:t>0</w:t>
          </w:r>
        </w:p>
        <w:p>
          <w:pPr>
            <w:pStyle w:val="31"/>
            <w:tabs>
              <w:tab w:val="right" w:leader="dot" w:pos="8960"/>
            </w:tabs>
            <w:ind w:left="640"/>
            <w:rPr>
              <w:rFonts w:ascii="楷体_GB2312" w:hAnsi="楷体_GB2312" w:eastAsia="楷体_GB2312" w:cs="楷体_GB2312"/>
              <w:sz w:val="30"/>
              <w:szCs w:val="30"/>
            </w:rPr>
          </w:pPr>
          <w:r>
            <w:rPr>
              <w:rFonts w:hint="eastAsia"/>
            </w:rPr>
            <w:fldChar w:fldCharType="begin"/>
          </w:r>
          <w:r>
            <w:instrText xml:space="preserve"> HYPERLINK \l "_Toc16466_WPSOffice_Level2" </w:instrText>
          </w:r>
          <w:r>
            <w:rPr>
              <w:rFonts w:hint="eastAsia"/>
            </w:rPr>
            <w:fldChar w:fldCharType="separate"/>
          </w:r>
          <w:sdt>
            <w:sdtPr>
              <w:rPr>
                <w:rFonts w:hint="eastAsia" w:ascii="楷体_GB2312" w:hAnsi="楷体_GB2312" w:eastAsia="楷体_GB2312" w:cs="楷体_GB2312"/>
                <w:sz w:val="30"/>
                <w:szCs w:val="30"/>
              </w:rPr>
              <w:id w:val="2004000111"/>
              <w:placeholder>
                <w:docPart w:val="{d7fa8edd-9d97-4a63-aec4-af5e73354247}"/>
              </w:placeholder>
              <w15:color w:val="509DF3"/>
            </w:sdtPr>
            <w:sdtEndPr>
              <w:rPr>
                <w:rFonts w:hint="eastAsia" w:ascii="楷体_GB2312" w:hAnsi="楷体_GB2312" w:eastAsia="楷体_GB2312" w:cs="楷体_GB2312"/>
                <w:sz w:val="30"/>
                <w:szCs w:val="30"/>
              </w:rPr>
            </w:sdtEndPr>
            <w:sdtContent>
              <w:r>
                <w:rPr>
                  <w:rFonts w:hint="eastAsia" w:ascii="楷体_GB2312" w:hAnsi="楷体_GB2312" w:eastAsia="楷体_GB2312" w:cs="楷体_GB2312"/>
                  <w:sz w:val="30"/>
                  <w:szCs w:val="30"/>
                </w:rPr>
                <w:t>5.2　先期处置</w:t>
              </w:r>
            </w:sdtContent>
          </w:sdt>
          <w:r>
            <w:rPr>
              <w:rFonts w:hint="eastAsia" w:ascii="楷体_GB2312" w:hAnsi="楷体_GB2312" w:eastAsia="楷体_GB2312" w:cs="楷体_GB2312"/>
              <w:sz w:val="30"/>
              <w:szCs w:val="30"/>
            </w:rPr>
            <w:tab/>
          </w:r>
          <w:bookmarkStart w:id="1" w:name="_Toc16466_WPSOffice_Level2Page"/>
          <w:r>
            <w:rPr>
              <w:rFonts w:hint="eastAsia" w:ascii="楷体_GB2312" w:hAnsi="楷体_GB2312" w:eastAsia="楷体_GB2312" w:cs="楷体_GB2312"/>
              <w:sz w:val="30"/>
              <w:szCs w:val="30"/>
            </w:rPr>
            <w:t>1</w:t>
          </w:r>
          <w:bookmarkEnd w:id="1"/>
          <w:r>
            <w:rPr>
              <w:rFonts w:hint="eastAsia" w:ascii="楷体_GB2312" w:hAnsi="楷体_GB2312" w:eastAsia="楷体_GB2312" w:cs="楷体_GB2312"/>
              <w:sz w:val="30"/>
              <w:szCs w:val="30"/>
            </w:rPr>
            <w:t>2</w:t>
          </w:r>
          <w:r>
            <w:rPr>
              <w:rFonts w:hint="eastAsia" w:ascii="楷体_GB2312" w:hAnsi="楷体_GB2312" w:eastAsia="楷体_GB2312" w:cs="楷体_GB2312"/>
              <w:sz w:val="30"/>
              <w:szCs w:val="30"/>
            </w:rPr>
            <w:fldChar w:fldCharType="end"/>
          </w:r>
        </w:p>
        <w:p>
          <w:pPr>
            <w:pStyle w:val="31"/>
            <w:tabs>
              <w:tab w:val="right" w:leader="dot" w:pos="8960"/>
            </w:tabs>
            <w:ind w:left="640"/>
            <w:rPr>
              <w:rFonts w:ascii="楷体_GB2312" w:hAnsi="楷体_GB2312" w:eastAsia="楷体_GB2312" w:cs="楷体_GB2312"/>
              <w:sz w:val="30"/>
              <w:szCs w:val="30"/>
            </w:rPr>
          </w:pPr>
          <w:r>
            <w:rPr>
              <w:rFonts w:hint="eastAsia"/>
            </w:rPr>
            <w:fldChar w:fldCharType="begin"/>
          </w:r>
          <w:r>
            <w:instrText xml:space="preserve"> HYPERLINK \l "_Toc5400_WPSOffice_Level2" </w:instrText>
          </w:r>
          <w:r>
            <w:rPr>
              <w:rFonts w:hint="eastAsia"/>
            </w:rPr>
            <w:fldChar w:fldCharType="separate"/>
          </w:r>
          <w:sdt>
            <w:sdtPr>
              <w:rPr>
                <w:rFonts w:hint="eastAsia" w:ascii="楷体_GB2312" w:hAnsi="楷体_GB2312" w:eastAsia="楷体_GB2312" w:cs="楷体_GB2312"/>
                <w:sz w:val="30"/>
                <w:szCs w:val="30"/>
              </w:rPr>
              <w:id w:val="158661223"/>
              <w:placeholder>
                <w:docPart w:val="{df468848-aadb-4516-8f33-7fdf0432ee7b}"/>
              </w:placeholder>
              <w15:color w:val="509DF3"/>
            </w:sdtPr>
            <w:sdtEndPr>
              <w:rPr>
                <w:rFonts w:hint="eastAsia" w:ascii="楷体_GB2312" w:hAnsi="楷体_GB2312" w:eastAsia="楷体_GB2312" w:cs="楷体_GB2312"/>
                <w:sz w:val="30"/>
                <w:szCs w:val="30"/>
              </w:rPr>
            </w:sdtEndPr>
            <w:sdtContent>
              <w:r>
                <w:rPr>
                  <w:rFonts w:hint="eastAsia" w:ascii="楷体_GB2312" w:hAnsi="楷体_GB2312" w:eastAsia="楷体_GB2312" w:cs="楷体_GB2312"/>
                  <w:sz w:val="30"/>
                  <w:szCs w:val="30"/>
                </w:rPr>
                <w:t>5.3　分级响应</w:t>
              </w:r>
            </w:sdtContent>
          </w:sdt>
          <w:r>
            <w:rPr>
              <w:rFonts w:hint="eastAsia" w:ascii="楷体_GB2312" w:hAnsi="楷体_GB2312" w:eastAsia="楷体_GB2312" w:cs="楷体_GB2312"/>
              <w:sz w:val="30"/>
              <w:szCs w:val="30"/>
            </w:rPr>
            <w:tab/>
          </w:r>
          <w:bookmarkStart w:id="2" w:name="_Toc5400_WPSOffice_Level2Page"/>
          <w:r>
            <w:rPr>
              <w:rFonts w:hint="eastAsia" w:ascii="楷体_GB2312" w:hAnsi="楷体_GB2312" w:eastAsia="楷体_GB2312" w:cs="楷体_GB2312"/>
              <w:sz w:val="30"/>
              <w:szCs w:val="30"/>
            </w:rPr>
            <w:t>1</w:t>
          </w:r>
          <w:bookmarkEnd w:id="2"/>
          <w:r>
            <w:rPr>
              <w:rFonts w:hint="eastAsia" w:ascii="楷体_GB2312" w:hAnsi="楷体_GB2312" w:eastAsia="楷体_GB2312" w:cs="楷体_GB2312"/>
              <w:sz w:val="30"/>
              <w:szCs w:val="30"/>
            </w:rPr>
            <w:t>2</w:t>
          </w:r>
          <w:r>
            <w:rPr>
              <w:rFonts w:hint="eastAsia" w:ascii="楷体_GB2312" w:hAnsi="楷体_GB2312" w:eastAsia="楷体_GB2312" w:cs="楷体_GB2312"/>
              <w:sz w:val="30"/>
              <w:szCs w:val="30"/>
            </w:rPr>
            <w:fldChar w:fldCharType="end"/>
          </w:r>
        </w:p>
        <w:p>
          <w:pPr>
            <w:pStyle w:val="31"/>
            <w:tabs>
              <w:tab w:val="right" w:leader="dot" w:pos="8960"/>
            </w:tabs>
            <w:ind w:left="640"/>
            <w:rPr>
              <w:rFonts w:ascii="楷体_GB2312" w:hAnsi="楷体_GB2312" w:eastAsia="楷体_GB2312" w:cs="楷体_GB2312"/>
              <w:sz w:val="30"/>
              <w:szCs w:val="30"/>
            </w:rPr>
          </w:pPr>
          <w:r>
            <w:rPr>
              <w:rFonts w:hint="eastAsia"/>
            </w:rPr>
            <w:fldChar w:fldCharType="begin"/>
          </w:r>
          <w:r>
            <w:instrText xml:space="preserve"> HYPERLINK \l "_Toc30140_WPSOffice_Level2" </w:instrText>
          </w:r>
          <w:r>
            <w:rPr>
              <w:rFonts w:hint="eastAsia"/>
            </w:rPr>
            <w:fldChar w:fldCharType="separate"/>
          </w:r>
          <w:sdt>
            <w:sdtPr>
              <w:rPr>
                <w:rFonts w:hint="eastAsia" w:ascii="楷体_GB2312" w:hAnsi="楷体_GB2312" w:eastAsia="楷体_GB2312" w:cs="楷体_GB2312"/>
                <w:sz w:val="30"/>
                <w:szCs w:val="30"/>
              </w:rPr>
              <w:id w:val="-1234542475"/>
              <w:placeholder>
                <w:docPart w:val="{0df82ed2-f7ac-4a63-94cb-5a82e95401b6}"/>
              </w:placeholder>
              <w15:color w:val="509DF3"/>
            </w:sdtPr>
            <w:sdtEndPr>
              <w:rPr>
                <w:rFonts w:hint="eastAsia" w:ascii="楷体_GB2312" w:hAnsi="楷体_GB2312" w:eastAsia="楷体_GB2312" w:cs="楷体_GB2312"/>
                <w:sz w:val="30"/>
                <w:szCs w:val="30"/>
              </w:rPr>
            </w:sdtEndPr>
            <w:sdtContent>
              <w:r>
                <w:rPr>
                  <w:rFonts w:hint="eastAsia" w:ascii="楷体_GB2312" w:hAnsi="楷体_GB2312" w:eastAsia="楷体_GB2312" w:cs="楷体_GB2312"/>
                  <w:sz w:val="30"/>
                  <w:szCs w:val="30"/>
                </w:rPr>
                <w:t>5.4　指挥协调</w:t>
              </w:r>
            </w:sdtContent>
          </w:sdt>
          <w:r>
            <w:rPr>
              <w:rFonts w:hint="eastAsia" w:ascii="楷体_GB2312" w:hAnsi="楷体_GB2312" w:eastAsia="楷体_GB2312" w:cs="楷体_GB2312"/>
              <w:sz w:val="30"/>
              <w:szCs w:val="30"/>
            </w:rPr>
            <w:tab/>
          </w:r>
          <w:r>
            <w:rPr>
              <w:rFonts w:hint="eastAsia" w:ascii="楷体_GB2312" w:hAnsi="楷体_GB2312" w:eastAsia="楷体_GB2312" w:cs="楷体_GB2312"/>
              <w:sz w:val="30"/>
              <w:szCs w:val="30"/>
            </w:rPr>
            <w:t>1</w:t>
          </w:r>
          <w:r>
            <w:rPr>
              <w:rFonts w:hint="eastAsia" w:ascii="楷体_GB2312" w:hAnsi="楷体_GB2312" w:eastAsia="楷体_GB2312" w:cs="楷体_GB2312"/>
              <w:sz w:val="30"/>
              <w:szCs w:val="30"/>
            </w:rPr>
            <w:fldChar w:fldCharType="end"/>
          </w:r>
          <w:r>
            <w:rPr>
              <w:rFonts w:hint="eastAsia" w:ascii="楷体_GB2312" w:hAnsi="楷体_GB2312" w:eastAsia="楷体_GB2312" w:cs="楷体_GB2312"/>
              <w:sz w:val="30"/>
              <w:szCs w:val="30"/>
            </w:rPr>
            <w:t>5</w:t>
          </w:r>
        </w:p>
        <w:p>
          <w:pPr>
            <w:pStyle w:val="31"/>
            <w:tabs>
              <w:tab w:val="right" w:leader="dot" w:pos="8960"/>
            </w:tabs>
            <w:ind w:left="640"/>
            <w:rPr>
              <w:rFonts w:ascii="楷体_GB2312" w:hAnsi="楷体_GB2312" w:eastAsia="楷体_GB2312" w:cs="楷体_GB2312"/>
              <w:sz w:val="30"/>
              <w:szCs w:val="30"/>
            </w:rPr>
          </w:pPr>
          <w:r>
            <w:rPr>
              <w:rFonts w:hint="eastAsia"/>
            </w:rPr>
            <w:fldChar w:fldCharType="begin"/>
          </w:r>
          <w:r>
            <w:instrText xml:space="preserve"> HYPERLINK \l "_Toc16539_WPSOffice_Level2" </w:instrText>
          </w:r>
          <w:r>
            <w:rPr>
              <w:rFonts w:hint="eastAsia"/>
            </w:rPr>
            <w:fldChar w:fldCharType="separate"/>
          </w:r>
          <w:sdt>
            <w:sdtPr>
              <w:rPr>
                <w:rFonts w:hint="eastAsia" w:ascii="楷体_GB2312" w:hAnsi="楷体_GB2312" w:eastAsia="楷体_GB2312" w:cs="楷体_GB2312"/>
                <w:sz w:val="30"/>
                <w:szCs w:val="30"/>
              </w:rPr>
              <w:id w:val="-1252427728"/>
              <w:placeholder>
                <w:docPart w:val="{a5c56b42-285b-49ac-a939-8d54e2cca2cb}"/>
              </w:placeholder>
              <w15:color w:val="509DF3"/>
            </w:sdtPr>
            <w:sdtEndPr>
              <w:rPr>
                <w:rFonts w:hint="eastAsia" w:ascii="楷体_GB2312" w:hAnsi="楷体_GB2312" w:eastAsia="楷体_GB2312" w:cs="楷体_GB2312"/>
                <w:sz w:val="30"/>
                <w:szCs w:val="30"/>
              </w:rPr>
            </w:sdtEndPr>
            <w:sdtContent>
              <w:r>
                <w:rPr>
                  <w:rFonts w:hint="eastAsia" w:ascii="楷体_GB2312" w:hAnsi="楷体_GB2312" w:eastAsia="楷体_GB2312" w:cs="楷体_GB2312"/>
                  <w:sz w:val="30"/>
                  <w:szCs w:val="30"/>
                </w:rPr>
                <w:t>5.5　处置措施</w:t>
              </w:r>
            </w:sdtContent>
          </w:sdt>
          <w:r>
            <w:rPr>
              <w:rFonts w:hint="eastAsia" w:ascii="楷体_GB2312" w:hAnsi="楷体_GB2312" w:eastAsia="楷体_GB2312" w:cs="楷体_GB2312"/>
              <w:sz w:val="30"/>
              <w:szCs w:val="30"/>
            </w:rPr>
            <w:tab/>
          </w:r>
          <w:r>
            <w:rPr>
              <w:rFonts w:hint="eastAsia" w:ascii="楷体_GB2312" w:hAnsi="楷体_GB2312" w:eastAsia="楷体_GB2312" w:cs="楷体_GB2312"/>
              <w:sz w:val="30"/>
              <w:szCs w:val="30"/>
            </w:rPr>
            <w:t>1</w:t>
          </w:r>
          <w:r>
            <w:rPr>
              <w:rFonts w:hint="eastAsia" w:ascii="楷体_GB2312" w:hAnsi="楷体_GB2312" w:eastAsia="楷体_GB2312" w:cs="楷体_GB2312"/>
              <w:sz w:val="30"/>
              <w:szCs w:val="30"/>
            </w:rPr>
            <w:fldChar w:fldCharType="end"/>
          </w:r>
          <w:r>
            <w:rPr>
              <w:rFonts w:hint="eastAsia" w:ascii="楷体_GB2312" w:hAnsi="楷体_GB2312" w:eastAsia="楷体_GB2312" w:cs="楷体_GB2312"/>
              <w:sz w:val="30"/>
              <w:szCs w:val="30"/>
            </w:rPr>
            <w:t>5</w:t>
          </w:r>
        </w:p>
        <w:p>
          <w:pPr>
            <w:pStyle w:val="31"/>
            <w:tabs>
              <w:tab w:val="right" w:leader="dot" w:pos="8960"/>
            </w:tabs>
            <w:ind w:left="640"/>
            <w:rPr>
              <w:rFonts w:ascii="楷体_GB2312" w:hAnsi="楷体_GB2312" w:eastAsia="楷体_GB2312" w:cs="楷体_GB2312"/>
              <w:sz w:val="30"/>
              <w:szCs w:val="30"/>
            </w:rPr>
          </w:pPr>
          <w:r>
            <w:rPr>
              <w:rFonts w:hint="eastAsia"/>
            </w:rPr>
            <w:fldChar w:fldCharType="begin"/>
          </w:r>
          <w:r>
            <w:instrText xml:space="preserve"> HYPERLINK \l "_Toc15499_WPSOffice_Level2" </w:instrText>
          </w:r>
          <w:r>
            <w:rPr>
              <w:rFonts w:hint="eastAsia"/>
            </w:rPr>
            <w:fldChar w:fldCharType="separate"/>
          </w:r>
          <w:sdt>
            <w:sdtPr>
              <w:rPr>
                <w:rFonts w:hint="eastAsia" w:ascii="楷体_GB2312" w:hAnsi="楷体_GB2312" w:eastAsia="楷体_GB2312" w:cs="楷体_GB2312"/>
                <w:sz w:val="30"/>
                <w:szCs w:val="30"/>
              </w:rPr>
              <w:id w:val="833652609"/>
              <w:placeholder>
                <w:docPart w:val="{df7efce2-2efd-49b6-82be-71f20b2bab52}"/>
              </w:placeholder>
              <w15:color w:val="509DF3"/>
            </w:sdtPr>
            <w:sdtEndPr>
              <w:rPr>
                <w:rFonts w:hint="eastAsia" w:ascii="楷体_GB2312" w:hAnsi="楷体_GB2312" w:eastAsia="楷体_GB2312" w:cs="楷体_GB2312"/>
                <w:sz w:val="30"/>
                <w:szCs w:val="30"/>
              </w:rPr>
            </w:sdtEndPr>
            <w:sdtContent>
              <w:r>
                <w:rPr>
                  <w:rFonts w:hint="eastAsia" w:ascii="楷体_GB2312" w:hAnsi="楷体_GB2312" w:eastAsia="楷体_GB2312" w:cs="楷体_GB2312"/>
                  <w:sz w:val="30"/>
                  <w:szCs w:val="30"/>
                </w:rPr>
                <w:t>5.6　扩大响应</w:t>
              </w:r>
            </w:sdtContent>
          </w:sdt>
          <w:r>
            <w:rPr>
              <w:rFonts w:hint="eastAsia" w:ascii="楷体_GB2312" w:hAnsi="楷体_GB2312" w:eastAsia="楷体_GB2312" w:cs="楷体_GB2312"/>
              <w:sz w:val="30"/>
              <w:szCs w:val="30"/>
            </w:rPr>
            <w:tab/>
          </w:r>
          <w:r>
            <w:rPr>
              <w:rFonts w:hint="eastAsia" w:ascii="楷体_GB2312" w:hAnsi="楷体_GB2312" w:eastAsia="楷体_GB2312" w:cs="楷体_GB2312"/>
              <w:sz w:val="30"/>
              <w:szCs w:val="30"/>
            </w:rPr>
            <w:t>1</w:t>
          </w:r>
          <w:r>
            <w:rPr>
              <w:rFonts w:hint="eastAsia" w:ascii="楷体_GB2312" w:hAnsi="楷体_GB2312" w:eastAsia="楷体_GB2312" w:cs="楷体_GB2312"/>
              <w:sz w:val="30"/>
              <w:szCs w:val="30"/>
            </w:rPr>
            <w:fldChar w:fldCharType="end"/>
          </w:r>
          <w:r>
            <w:rPr>
              <w:rFonts w:hint="eastAsia" w:ascii="楷体_GB2312" w:hAnsi="楷体_GB2312" w:eastAsia="楷体_GB2312" w:cs="楷体_GB2312"/>
              <w:sz w:val="30"/>
              <w:szCs w:val="30"/>
            </w:rPr>
            <w:t>6</w:t>
          </w:r>
        </w:p>
        <w:p>
          <w:pPr>
            <w:pStyle w:val="31"/>
            <w:tabs>
              <w:tab w:val="right" w:leader="dot" w:pos="8960"/>
            </w:tabs>
            <w:ind w:left="640"/>
            <w:rPr>
              <w:rFonts w:ascii="楷体_GB2312" w:hAnsi="楷体_GB2312" w:eastAsia="楷体_GB2312" w:cs="楷体_GB2312"/>
              <w:sz w:val="30"/>
              <w:szCs w:val="30"/>
            </w:rPr>
          </w:pPr>
          <w:r>
            <w:rPr>
              <w:rFonts w:hint="eastAsia"/>
            </w:rPr>
            <w:fldChar w:fldCharType="begin"/>
          </w:r>
          <w:r>
            <w:instrText xml:space="preserve"> HYPERLINK \l "_Toc15499_WPSOffice_Level2" </w:instrText>
          </w:r>
          <w:r>
            <w:rPr>
              <w:rFonts w:hint="eastAsia"/>
            </w:rPr>
            <w:fldChar w:fldCharType="separate"/>
          </w:r>
          <w:sdt>
            <w:sdtPr>
              <w:rPr>
                <w:rFonts w:hint="eastAsia" w:ascii="楷体_GB2312" w:hAnsi="楷体_GB2312" w:eastAsia="楷体_GB2312" w:cs="楷体_GB2312"/>
                <w:sz w:val="30"/>
                <w:szCs w:val="30"/>
              </w:rPr>
              <w:id w:val="-809017304"/>
              <w:placeholder>
                <w:docPart w:val="{29117db6-1fbd-4ba7-a0f3-7cd592574ccf}"/>
              </w:placeholder>
              <w15:color w:val="509DF3"/>
            </w:sdtPr>
            <w:sdtEndPr>
              <w:rPr>
                <w:rFonts w:hint="eastAsia" w:ascii="楷体_GB2312" w:hAnsi="楷体_GB2312" w:eastAsia="楷体_GB2312" w:cs="楷体_GB2312"/>
                <w:sz w:val="30"/>
                <w:szCs w:val="30"/>
              </w:rPr>
            </w:sdtEndPr>
            <w:sdtContent>
              <w:r>
                <w:rPr>
                  <w:rFonts w:hint="eastAsia" w:ascii="楷体_GB2312" w:hAnsi="楷体_GB2312" w:eastAsia="楷体_GB2312" w:cs="楷体_GB2312"/>
                  <w:sz w:val="30"/>
                  <w:szCs w:val="30"/>
                </w:rPr>
                <w:t>5.7　信息发布和舆情引导</w:t>
              </w:r>
            </w:sdtContent>
          </w:sdt>
          <w:r>
            <w:rPr>
              <w:rFonts w:hint="eastAsia" w:ascii="楷体_GB2312" w:hAnsi="楷体_GB2312" w:eastAsia="楷体_GB2312" w:cs="楷体_GB2312"/>
              <w:sz w:val="30"/>
              <w:szCs w:val="30"/>
            </w:rPr>
            <w:tab/>
          </w:r>
          <w:r>
            <w:rPr>
              <w:rFonts w:hint="eastAsia" w:ascii="楷体_GB2312" w:hAnsi="楷体_GB2312" w:eastAsia="楷体_GB2312" w:cs="楷体_GB2312"/>
              <w:sz w:val="30"/>
              <w:szCs w:val="30"/>
            </w:rPr>
            <w:t>1</w:t>
          </w:r>
          <w:r>
            <w:rPr>
              <w:rFonts w:hint="eastAsia" w:ascii="楷体_GB2312" w:hAnsi="楷体_GB2312" w:eastAsia="楷体_GB2312" w:cs="楷体_GB2312"/>
              <w:sz w:val="30"/>
              <w:szCs w:val="30"/>
            </w:rPr>
            <w:fldChar w:fldCharType="end"/>
          </w:r>
          <w:r>
            <w:rPr>
              <w:rFonts w:hint="eastAsia" w:ascii="楷体_GB2312" w:hAnsi="楷体_GB2312" w:eastAsia="楷体_GB2312" w:cs="楷体_GB2312"/>
              <w:sz w:val="30"/>
              <w:szCs w:val="30"/>
            </w:rPr>
            <w:t>6</w:t>
          </w:r>
        </w:p>
        <w:p>
          <w:pPr>
            <w:pStyle w:val="31"/>
            <w:tabs>
              <w:tab w:val="right" w:leader="dot" w:pos="8960"/>
            </w:tabs>
            <w:ind w:left="640"/>
            <w:rPr>
              <w:rFonts w:ascii="楷体_GB2312" w:hAnsi="楷体_GB2312" w:eastAsia="楷体_GB2312" w:cs="楷体_GB2312"/>
              <w:sz w:val="30"/>
              <w:szCs w:val="30"/>
            </w:rPr>
          </w:pPr>
          <w:r>
            <w:rPr>
              <w:rFonts w:hint="eastAsia"/>
            </w:rPr>
            <w:fldChar w:fldCharType="begin"/>
          </w:r>
          <w:r>
            <w:instrText xml:space="preserve"> HYPERLINK \l "_Toc2631_WPSOffice_Level2" </w:instrText>
          </w:r>
          <w:r>
            <w:rPr>
              <w:rFonts w:hint="eastAsia"/>
            </w:rPr>
            <w:fldChar w:fldCharType="separate"/>
          </w:r>
          <w:sdt>
            <w:sdtPr>
              <w:rPr>
                <w:rFonts w:hint="eastAsia" w:ascii="楷体_GB2312" w:hAnsi="楷体_GB2312" w:eastAsia="楷体_GB2312" w:cs="楷体_GB2312"/>
                <w:sz w:val="30"/>
                <w:szCs w:val="30"/>
              </w:rPr>
              <w:id w:val="726574737"/>
              <w:placeholder>
                <w:docPart w:val="{73db4ed7-c83e-46c8-a77f-8bc3a7422b5c}"/>
              </w:placeholder>
              <w15:color w:val="509DF3"/>
            </w:sdtPr>
            <w:sdtEndPr>
              <w:rPr>
                <w:rFonts w:hint="eastAsia" w:ascii="楷体_GB2312" w:hAnsi="楷体_GB2312" w:eastAsia="楷体_GB2312" w:cs="楷体_GB2312"/>
                <w:sz w:val="30"/>
                <w:szCs w:val="30"/>
              </w:rPr>
            </w:sdtEndPr>
            <w:sdtContent>
              <w:r>
                <w:rPr>
                  <w:rFonts w:hint="eastAsia" w:ascii="楷体_GB2312" w:hAnsi="楷体_GB2312" w:eastAsia="楷体_GB2312" w:cs="楷体_GB2312"/>
                  <w:sz w:val="30"/>
                  <w:szCs w:val="30"/>
                </w:rPr>
                <w:t>5.8　应急结束</w:t>
              </w:r>
            </w:sdtContent>
          </w:sdt>
          <w:r>
            <w:rPr>
              <w:rFonts w:hint="eastAsia" w:ascii="楷体_GB2312" w:hAnsi="楷体_GB2312" w:eastAsia="楷体_GB2312" w:cs="楷体_GB2312"/>
              <w:sz w:val="30"/>
              <w:szCs w:val="30"/>
            </w:rPr>
            <w:tab/>
          </w:r>
          <w:r>
            <w:rPr>
              <w:rFonts w:hint="eastAsia" w:ascii="楷体_GB2312" w:hAnsi="楷体_GB2312" w:eastAsia="楷体_GB2312" w:cs="楷体_GB2312"/>
              <w:sz w:val="30"/>
              <w:szCs w:val="30"/>
            </w:rPr>
            <w:t>1</w:t>
          </w:r>
          <w:r>
            <w:rPr>
              <w:rFonts w:hint="eastAsia" w:ascii="楷体_GB2312" w:hAnsi="楷体_GB2312" w:eastAsia="楷体_GB2312" w:cs="楷体_GB2312"/>
              <w:sz w:val="30"/>
              <w:szCs w:val="30"/>
            </w:rPr>
            <w:fldChar w:fldCharType="end"/>
          </w:r>
          <w:r>
            <w:rPr>
              <w:rFonts w:hint="eastAsia" w:ascii="楷体_GB2312" w:hAnsi="楷体_GB2312" w:eastAsia="楷体_GB2312" w:cs="楷体_GB2312"/>
              <w:sz w:val="30"/>
              <w:szCs w:val="30"/>
            </w:rPr>
            <w:t>7</w:t>
          </w:r>
        </w:p>
        <w:p>
          <w:pPr>
            <w:pStyle w:val="31"/>
            <w:tabs>
              <w:tab w:val="right" w:leader="dot" w:pos="8960"/>
            </w:tabs>
            <w:ind w:left="640"/>
            <w:rPr>
              <w:rFonts w:eastAsia="楷体_GB2312"/>
            </w:rPr>
          </w:pPr>
          <w:r>
            <w:rPr>
              <w:rFonts w:hint="eastAsia"/>
            </w:rPr>
            <w:fldChar w:fldCharType="begin"/>
          </w:r>
          <w:r>
            <w:instrText xml:space="preserve"> HYPERLINK \l "_Toc5854_WPSOffice_Level2" </w:instrText>
          </w:r>
          <w:r>
            <w:rPr>
              <w:rFonts w:hint="eastAsia"/>
            </w:rPr>
            <w:fldChar w:fldCharType="separate"/>
          </w:r>
          <w:sdt>
            <w:sdtPr>
              <w:rPr>
                <w:rFonts w:hint="eastAsia" w:ascii="楷体_GB2312" w:hAnsi="楷体_GB2312" w:eastAsia="楷体_GB2312" w:cs="楷体_GB2312"/>
                <w:sz w:val="30"/>
                <w:szCs w:val="30"/>
              </w:rPr>
              <w:id w:val="1895232868"/>
              <w:placeholder>
                <w:docPart w:val="{8e9331a5-9a8d-40c2-9784-1070bf2d6387}"/>
              </w:placeholder>
              <w15:color w:val="509DF3"/>
            </w:sdtPr>
            <w:sdtEndPr>
              <w:rPr>
                <w:rFonts w:hint="eastAsia" w:ascii="楷体_GB2312" w:hAnsi="楷体_GB2312" w:eastAsia="楷体_GB2312" w:cs="楷体_GB2312"/>
                <w:sz w:val="30"/>
                <w:szCs w:val="30"/>
              </w:rPr>
            </w:sdtEndPr>
            <w:sdtContent>
              <w:r>
                <w:rPr>
                  <w:rFonts w:hint="eastAsia" w:ascii="楷体_GB2312" w:hAnsi="楷体_GB2312" w:eastAsia="楷体_GB2312" w:cs="楷体_GB2312"/>
                  <w:sz w:val="30"/>
                  <w:szCs w:val="30"/>
                </w:rPr>
                <w:t>5.9　后期处置</w:t>
              </w:r>
            </w:sdtContent>
          </w:sdt>
          <w:r>
            <w:rPr>
              <w:rFonts w:hint="eastAsia" w:ascii="楷体_GB2312" w:hAnsi="楷体_GB2312" w:eastAsia="楷体_GB2312" w:cs="楷体_GB2312"/>
              <w:sz w:val="30"/>
              <w:szCs w:val="30"/>
            </w:rPr>
            <w:tab/>
          </w:r>
          <w:r>
            <w:rPr>
              <w:rFonts w:hint="eastAsia" w:ascii="楷体_GB2312" w:hAnsi="楷体_GB2312" w:eastAsia="楷体_GB2312" w:cs="楷体_GB2312"/>
              <w:sz w:val="30"/>
              <w:szCs w:val="30"/>
            </w:rPr>
            <w:t>1</w:t>
          </w:r>
          <w:r>
            <w:rPr>
              <w:rFonts w:hint="eastAsia" w:ascii="楷体_GB2312" w:hAnsi="楷体_GB2312" w:eastAsia="楷体_GB2312" w:cs="楷体_GB2312"/>
              <w:sz w:val="30"/>
              <w:szCs w:val="30"/>
            </w:rPr>
            <w:fldChar w:fldCharType="end"/>
          </w:r>
          <w:r>
            <w:rPr>
              <w:rFonts w:hint="eastAsia" w:ascii="楷体_GB2312" w:hAnsi="楷体_GB2312" w:eastAsia="楷体_GB2312" w:cs="楷体_GB2312"/>
              <w:sz w:val="30"/>
              <w:szCs w:val="30"/>
            </w:rPr>
            <w:t>7</w:t>
          </w:r>
        </w:p>
        <w:p>
          <w:pPr>
            <w:pStyle w:val="30"/>
            <w:tabs>
              <w:tab w:val="right" w:leader="dot" w:pos="8960"/>
            </w:tabs>
            <w:rPr>
              <w:rFonts w:eastAsia="黑体"/>
            </w:rPr>
          </w:pPr>
          <w:r>
            <w:rPr>
              <w:rFonts w:hint="eastAsia"/>
            </w:rPr>
            <w:fldChar w:fldCharType="begin"/>
          </w:r>
          <w:r>
            <w:instrText xml:space="preserve"> HYPERLINK \l "_Toc13811_WPSOffice_Level1" </w:instrText>
          </w:r>
          <w:r>
            <w:rPr>
              <w:rFonts w:hint="eastAsia"/>
            </w:rPr>
            <w:fldChar w:fldCharType="separate"/>
          </w:r>
          <w:sdt>
            <w:sdtPr>
              <w:rPr>
                <w:rFonts w:eastAsia="仿宋_GB2312" w:cstheme="minorBidi"/>
                <w:b/>
                <w:bCs/>
                <w:kern w:val="2"/>
                <w:sz w:val="32"/>
                <w:szCs w:val="22"/>
              </w:rPr>
              <w:id w:val="2064899073"/>
              <w:placeholder>
                <w:docPart w:val="{85d16406-132d-44d8-9a46-6225af8e416d}"/>
              </w:placeholder>
              <w15:color w:val="509DF3"/>
            </w:sdtPr>
            <w:sdtEndPr>
              <w:rPr>
                <w:rFonts w:hint="eastAsia" w:ascii="宋体" w:hAnsi="宋体" w:eastAsia="黑体" w:cs="宋体"/>
                <w:b/>
                <w:bCs/>
                <w:kern w:val="0"/>
                <w:sz w:val="32"/>
                <w:szCs w:val="20"/>
              </w:rPr>
            </w:sdtEndPr>
            <w:sdtContent>
              <w:r>
                <w:rPr>
                  <w:rFonts w:hint="eastAsia" w:ascii="宋体" w:hAnsi="宋体" w:eastAsia="黑体" w:cs="宋体"/>
                  <w:b/>
                  <w:bCs/>
                  <w:sz w:val="32"/>
                </w:rPr>
                <w:t>6　应急保障</w:t>
              </w:r>
            </w:sdtContent>
          </w:sdt>
          <w:r>
            <w:rPr>
              <w:b/>
              <w:bCs/>
            </w:rPr>
            <w:tab/>
          </w:r>
          <w:r>
            <w:rPr>
              <w:rFonts w:hint="eastAsia" w:ascii="宋体" w:hAnsi="宋体" w:eastAsia="黑体" w:cs="宋体"/>
              <w:b/>
              <w:bCs/>
              <w:sz w:val="32"/>
            </w:rPr>
            <w:t>1</w:t>
          </w:r>
          <w:r>
            <w:rPr>
              <w:rFonts w:hint="eastAsia" w:ascii="宋体" w:hAnsi="宋体" w:eastAsia="黑体" w:cs="宋体"/>
              <w:b/>
              <w:bCs/>
              <w:sz w:val="32"/>
            </w:rPr>
            <w:fldChar w:fldCharType="end"/>
          </w:r>
          <w:r>
            <w:rPr>
              <w:rFonts w:hint="eastAsia" w:ascii="宋体" w:hAnsi="宋体" w:eastAsia="黑体" w:cs="宋体"/>
              <w:b/>
              <w:bCs/>
              <w:sz w:val="32"/>
            </w:rPr>
            <w:t>8</w:t>
          </w:r>
        </w:p>
        <w:p>
          <w:pPr>
            <w:pStyle w:val="31"/>
            <w:tabs>
              <w:tab w:val="right" w:leader="dot" w:pos="8960"/>
            </w:tabs>
            <w:ind w:left="640"/>
            <w:rPr>
              <w:rFonts w:ascii="楷体_GB2312" w:hAnsi="楷体_GB2312" w:eastAsia="楷体_GB2312" w:cs="楷体_GB2312"/>
              <w:sz w:val="30"/>
              <w:szCs w:val="30"/>
            </w:rPr>
          </w:pPr>
          <w:r>
            <w:rPr>
              <w:rFonts w:hint="eastAsia"/>
            </w:rPr>
            <w:fldChar w:fldCharType="begin"/>
          </w:r>
          <w:r>
            <w:instrText xml:space="preserve"> HYPERLINK \l "_Toc8291_WPSOffice_Level2" </w:instrText>
          </w:r>
          <w:r>
            <w:rPr>
              <w:rFonts w:hint="eastAsia"/>
            </w:rPr>
            <w:fldChar w:fldCharType="separate"/>
          </w:r>
          <w:sdt>
            <w:sdtPr>
              <w:rPr>
                <w:rFonts w:hint="eastAsia" w:ascii="楷体_GB2312" w:hAnsi="楷体_GB2312" w:eastAsia="楷体_GB2312" w:cs="楷体_GB2312"/>
                <w:sz w:val="30"/>
                <w:szCs w:val="30"/>
              </w:rPr>
              <w:id w:val="-2019233527"/>
              <w:placeholder>
                <w:docPart w:val="{b3bd8e9b-3cf2-4ce3-b82f-6713f6c329cd}"/>
              </w:placeholder>
              <w15:color w:val="509DF3"/>
            </w:sdtPr>
            <w:sdtEndPr>
              <w:rPr>
                <w:rFonts w:hint="eastAsia" w:ascii="楷体_GB2312" w:hAnsi="楷体_GB2312" w:eastAsia="楷体_GB2312" w:cs="楷体_GB2312"/>
                <w:sz w:val="30"/>
                <w:szCs w:val="30"/>
              </w:rPr>
            </w:sdtEndPr>
            <w:sdtContent>
              <w:r>
                <w:rPr>
                  <w:rFonts w:hint="eastAsia" w:ascii="楷体_GB2312" w:hAnsi="楷体_GB2312" w:eastAsia="楷体_GB2312" w:cs="楷体_GB2312"/>
                  <w:sz w:val="30"/>
                  <w:szCs w:val="30"/>
                </w:rPr>
                <w:t>6.1　资源保障</w:t>
              </w:r>
            </w:sdtContent>
          </w:sdt>
          <w:r>
            <w:rPr>
              <w:rFonts w:hint="eastAsia" w:ascii="楷体_GB2312" w:hAnsi="楷体_GB2312" w:eastAsia="楷体_GB2312" w:cs="楷体_GB2312"/>
              <w:sz w:val="30"/>
              <w:szCs w:val="30"/>
            </w:rPr>
            <w:tab/>
          </w:r>
          <w:r>
            <w:rPr>
              <w:rFonts w:hint="eastAsia" w:ascii="楷体_GB2312" w:hAnsi="楷体_GB2312" w:eastAsia="楷体_GB2312" w:cs="楷体_GB2312"/>
              <w:sz w:val="30"/>
              <w:szCs w:val="30"/>
            </w:rPr>
            <w:t>1</w:t>
          </w:r>
          <w:r>
            <w:rPr>
              <w:rFonts w:hint="eastAsia" w:ascii="楷体_GB2312" w:hAnsi="楷体_GB2312" w:eastAsia="楷体_GB2312" w:cs="楷体_GB2312"/>
              <w:sz w:val="30"/>
              <w:szCs w:val="30"/>
            </w:rPr>
            <w:fldChar w:fldCharType="end"/>
          </w:r>
          <w:r>
            <w:rPr>
              <w:rFonts w:hint="eastAsia" w:ascii="楷体_GB2312" w:hAnsi="楷体_GB2312" w:eastAsia="楷体_GB2312" w:cs="楷体_GB2312"/>
              <w:sz w:val="30"/>
              <w:szCs w:val="30"/>
            </w:rPr>
            <w:t>8</w:t>
          </w:r>
        </w:p>
        <w:p>
          <w:pPr>
            <w:pStyle w:val="31"/>
            <w:tabs>
              <w:tab w:val="right" w:leader="dot" w:pos="8960"/>
            </w:tabs>
            <w:ind w:left="640"/>
            <w:rPr>
              <w:rFonts w:ascii="楷体_GB2312" w:hAnsi="楷体_GB2312" w:eastAsia="楷体_GB2312" w:cs="楷体_GB2312"/>
              <w:sz w:val="30"/>
              <w:szCs w:val="30"/>
            </w:rPr>
          </w:pPr>
          <w:r>
            <w:rPr>
              <w:rFonts w:hint="eastAsia"/>
            </w:rPr>
            <w:fldChar w:fldCharType="begin"/>
          </w:r>
          <w:r>
            <w:instrText xml:space="preserve"> HYPERLINK \l "_Toc998_WPSOffice_Level2" </w:instrText>
          </w:r>
          <w:r>
            <w:rPr>
              <w:rFonts w:hint="eastAsia"/>
            </w:rPr>
            <w:fldChar w:fldCharType="separate"/>
          </w:r>
          <w:sdt>
            <w:sdtPr>
              <w:rPr>
                <w:rFonts w:hint="eastAsia" w:ascii="楷体_GB2312" w:hAnsi="楷体_GB2312" w:eastAsia="楷体_GB2312" w:cs="楷体_GB2312"/>
                <w:sz w:val="30"/>
                <w:szCs w:val="30"/>
              </w:rPr>
              <w:id w:val="1556362307"/>
              <w:placeholder>
                <w:docPart w:val="{dfed313a-9951-4d6e-83a2-2c339192d80a}"/>
              </w:placeholder>
              <w15:color w:val="509DF3"/>
            </w:sdtPr>
            <w:sdtEndPr>
              <w:rPr>
                <w:rFonts w:hint="eastAsia" w:ascii="楷体_GB2312" w:hAnsi="楷体_GB2312" w:eastAsia="楷体_GB2312" w:cs="楷体_GB2312"/>
                <w:sz w:val="30"/>
                <w:szCs w:val="30"/>
              </w:rPr>
            </w:sdtEndPr>
            <w:sdtContent>
              <w:r>
                <w:rPr>
                  <w:rFonts w:hint="eastAsia" w:ascii="楷体_GB2312" w:hAnsi="楷体_GB2312" w:eastAsia="楷体_GB2312" w:cs="楷体_GB2312"/>
                  <w:sz w:val="30"/>
                  <w:szCs w:val="30"/>
                </w:rPr>
                <w:t>6.2　经费保障</w:t>
              </w:r>
            </w:sdtContent>
          </w:sdt>
          <w:r>
            <w:rPr>
              <w:rFonts w:hint="eastAsia" w:ascii="楷体_GB2312" w:hAnsi="楷体_GB2312" w:eastAsia="楷体_GB2312" w:cs="楷体_GB2312"/>
              <w:sz w:val="30"/>
              <w:szCs w:val="30"/>
            </w:rPr>
            <w:tab/>
          </w:r>
          <w:r>
            <w:rPr>
              <w:rFonts w:hint="eastAsia" w:ascii="楷体_GB2312" w:hAnsi="楷体_GB2312" w:eastAsia="楷体_GB2312" w:cs="楷体_GB2312"/>
              <w:sz w:val="30"/>
              <w:szCs w:val="30"/>
            </w:rPr>
            <w:t>1</w:t>
          </w:r>
          <w:r>
            <w:rPr>
              <w:rFonts w:hint="eastAsia" w:ascii="楷体_GB2312" w:hAnsi="楷体_GB2312" w:eastAsia="楷体_GB2312" w:cs="楷体_GB2312"/>
              <w:sz w:val="30"/>
              <w:szCs w:val="30"/>
            </w:rPr>
            <w:fldChar w:fldCharType="end"/>
          </w:r>
          <w:r>
            <w:rPr>
              <w:rFonts w:hint="eastAsia" w:ascii="楷体_GB2312" w:hAnsi="楷体_GB2312" w:eastAsia="楷体_GB2312" w:cs="楷体_GB2312"/>
              <w:sz w:val="30"/>
              <w:szCs w:val="30"/>
            </w:rPr>
            <w:t>9</w:t>
          </w:r>
        </w:p>
        <w:p>
          <w:pPr>
            <w:pStyle w:val="31"/>
            <w:tabs>
              <w:tab w:val="right" w:leader="dot" w:pos="8960"/>
            </w:tabs>
            <w:ind w:left="640"/>
            <w:rPr>
              <w:rFonts w:ascii="楷体_GB2312" w:hAnsi="楷体_GB2312" w:eastAsia="楷体_GB2312" w:cs="楷体_GB2312"/>
              <w:sz w:val="30"/>
              <w:szCs w:val="30"/>
            </w:rPr>
          </w:pPr>
          <w:r>
            <w:rPr>
              <w:rFonts w:hint="eastAsia"/>
            </w:rPr>
            <w:fldChar w:fldCharType="begin"/>
          </w:r>
          <w:r>
            <w:instrText xml:space="preserve"> HYPERLINK \l "_Toc28509_WPSOffice_Level2" </w:instrText>
          </w:r>
          <w:r>
            <w:rPr>
              <w:rFonts w:hint="eastAsia"/>
            </w:rPr>
            <w:fldChar w:fldCharType="separate"/>
          </w:r>
          <w:sdt>
            <w:sdtPr>
              <w:rPr>
                <w:rFonts w:hint="eastAsia" w:ascii="楷体_GB2312" w:hAnsi="楷体_GB2312" w:eastAsia="楷体_GB2312" w:cs="楷体_GB2312"/>
                <w:sz w:val="30"/>
                <w:szCs w:val="30"/>
              </w:rPr>
              <w:id w:val="1352449772"/>
              <w:placeholder>
                <w:docPart w:val="{99091812-b0cd-427a-ae8b-b068361b5088}"/>
              </w:placeholder>
              <w15:color w:val="509DF3"/>
            </w:sdtPr>
            <w:sdtEndPr>
              <w:rPr>
                <w:rFonts w:hint="eastAsia" w:ascii="楷体_GB2312" w:hAnsi="楷体_GB2312" w:eastAsia="楷体_GB2312" w:cs="楷体_GB2312"/>
                <w:sz w:val="30"/>
                <w:szCs w:val="30"/>
              </w:rPr>
            </w:sdtEndPr>
            <w:sdtContent>
              <w:r>
                <w:rPr>
                  <w:rFonts w:hint="eastAsia" w:ascii="楷体_GB2312" w:hAnsi="楷体_GB2312" w:eastAsia="楷体_GB2312" w:cs="楷体_GB2312"/>
                  <w:sz w:val="30"/>
                  <w:szCs w:val="30"/>
                </w:rPr>
                <w:t>6.3　培训宣教</w:t>
              </w:r>
            </w:sdtContent>
          </w:sdt>
          <w:r>
            <w:rPr>
              <w:rFonts w:hint="eastAsia" w:ascii="楷体_GB2312" w:hAnsi="楷体_GB2312" w:eastAsia="楷体_GB2312" w:cs="楷体_GB2312"/>
              <w:sz w:val="30"/>
              <w:szCs w:val="30"/>
            </w:rPr>
            <w:tab/>
          </w:r>
          <w:r>
            <w:rPr>
              <w:rFonts w:hint="eastAsia" w:ascii="楷体_GB2312" w:hAnsi="楷体_GB2312" w:eastAsia="楷体_GB2312" w:cs="楷体_GB2312"/>
              <w:sz w:val="30"/>
              <w:szCs w:val="30"/>
            </w:rPr>
            <w:t>1</w:t>
          </w:r>
          <w:r>
            <w:rPr>
              <w:rFonts w:hint="eastAsia" w:ascii="楷体_GB2312" w:hAnsi="楷体_GB2312" w:eastAsia="楷体_GB2312" w:cs="楷体_GB2312"/>
              <w:sz w:val="30"/>
              <w:szCs w:val="30"/>
            </w:rPr>
            <w:fldChar w:fldCharType="end"/>
          </w:r>
          <w:r>
            <w:rPr>
              <w:rFonts w:hint="eastAsia" w:ascii="楷体_GB2312" w:hAnsi="楷体_GB2312" w:eastAsia="楷体_GB2312" w:cs="楷体_GB2312"/>
              <w:sz w:val="30"/>
              <w:szCs w:val="30"/>
            </w:rPr>
            <w:t>9</w:t>
          </w:r>
        </w:p>
        <w:p>
          <w:pPr>
            <w:pStyle w:val="31"/>
            <w:tabs>
              <w:tab w:val="right" w:leader="dot" w:pos="8960"/>
            </w:tabs>
            <w:ind w:left="640"/>
            <w:rPr>
              <w:rFonts w:eastAsia="楷体_GB2312"/>
            </w:rPr>
          </w:pPr>
          <w:r>
            <w:rPr>
              <w:rFonts w:hint="eastAsia"/>
            </w:rPr>
            <w:fldChar w:fldCharType="begin"/>
          </w:r>
          <w:r>
            <w:instrText xml:space="preserve"> HYPERLINK \l "_Toc26724_WPSOffice_Level2" </w:instrText>
          </w:r>
          <w:r>
            <w:rPr>
              <w:rFonts w:hint="eastAsia"/>
            </w:rPr>
            <w:fldChar w:fldCharType="separate"/>
          </w:r>
          <w:sdt>
            <w:sdtPr>
              <w:rPr>
                <w:rFonts w:hint="eastAsia" w:ascii="楷体_GB2312" w:hAnsi="楷体_GB2312" w:eastAsia="楷体_GB2312" w:cs="楷体_GB2312"/>
                <w:sz w:val="30"/>
                <w:szCs w:val="30"/>
              </w:rPr>
              <w:id w:val="-709964290"/>
              <w:placeholder>
                <w:docPart w:val="{b2b3be2c-75d0-4a11-8a72-0e9953a7d344}"/>
              </w:placeholder>
              <w15:color w:val="509DF3"/>
            </w:sdtPr>
            <w:sdtEndPr>
              <w:rPr>
                <w:rFonts w:hint="eastAsia" w:ascii="楷体_GB2312" w:hAnsi="楷体_GB2312" w:eastAsia="楷体_GB2312" w:cs="楷体_GB2312"/>
                <w:sz w:val="30"/>
                <w:szCs w:val="30"/>
              </w:rPr>
            </w:sdtEndPr>
            <w:sdtContent>
              <w:r>
                <w:rPr>
                  <w:rFonts w:hint="eastAsia" w:ascii="楷体_GB2312" w:hAnsi="楷体_GB2312" w:eastAsia="楷体_GB2312" w:cs="楷体_GB2312"/>
                  <w:sz w:val="30"/>
                  <w:szCs w:val="30"/>
                </w:rPr>
                <w:t>6.4　应急演练</w:t>
              </w:r>
            </w:sdtContent>
          </w:sdt>
          <w:r>
            <w:rPr>
              <w:rFonts w:hint="eastAsia" w:ascii="楷体_GB2312" w:hAnsi="楷体_GB2312" w:eastAsia="楷体_GB2312" w:cs="楷体_GB2312"/>
              <w:sz w:val="30"/>
              <w:szCs w:val="30"/>
            </w:rPr>
            <w:tab/>
          </w:r>
          <w:r>
            <w:rPr>
              <w:rFonts w:hint="eastAsia" w:ascii="楷体_GB2312" w:hAnsi="楷体_GB2312" w:eastAsia="楷体_GB2312" w:cs="楷体_GB2312"/>
              <w:sz w:val="30"/>
              <w:szCs w:val="30"/>
            </w:rPr>
            <w:t>2</w:t>
          </w:r>
          <w:r>
            <w:rPr>
              <w:rFonts w:hint="eastAsia" w:ascii="楷体_GB2312" w:hAnsi="楷体_GB2312" w:eastAsia="楷体_GB2312" w:cs="楷体_GB2312"/>
              <w:sz w:val="30"/>
              <w:szCs w:val="30"/>
            </w:rPr>
            <w:fldChar w:fldCharType="end"/>
          </w:r>
          <w:r>
            <w:rPr>
              <w:rFonts w:hint="eastAsia" w:ascii="楷体_GB2312" w:hAnsi="楷体_GB2312" w:eastAsia="楷体_GB2312" w:cs="楷体_GB2312"/>
              <w:sz w:val="30"/>
              <w:szCs w:val="30"/>
            </w:rPr>
            <w:t>0</w:t>
          </w:r>
        </w:p>
        <w:p>
          <w:pPr>
            <w:pStyle w:val="30"/>
            <w:tabs>
              <w:tab w:val="right" w:leader="dot" w:pos="8960"/>
            </w:tabs>
          </w:pPr>
          <w:r>
            <w:rPr>
              <w:rFonts w:hint="eastAsia"/>
            </w:rPr>
            <w:fldChar w:fldCharType="begin"/>
          </w:r>
          <w:r>
            <w:instrText xml:space="preserve"> HYPERLINK \l "_Toc10049_WPSOffice_Level1" </w:instrText>
          </w:r>
          <w:r>
            <w:rPr>
              <w:rFonts w:hint="eastAsia"/>
            </w:rPr>
            <w:fldChar w:fldCharType="separate"/>
          </w:r>
          <w:sdt>
            <w:sdtPr>
              <w:rPr>
                <w:rFonts w:eastAsia="仿宋_GB2312" w:cstheme="minorBidi"/>
                <w:b/>
                <w:bCs/>
                <w:kern w:val="2"/>
                <w:sz w:val="32"/>
                <w:szCs w:val="22"/>
              </w:rPr>
              <w:id w:val="-362059471"/>
              <w:placeholder>
                <w:docPart w:val="{049747b8-463e-42ee-85c0-06fc96fff294}"/>
              </w:placeholder>
              <w15:color w:val="509DF3"/>
            </w:sdtPr>
            <w:sdtEndPr>
              <w:rPr>
                <w:rFonts w:eastAsia="仿宋_GB2312" w:cstheme="minorBidi"/>
                <w:b/>
                <w:bCs/>
                <w:kern w:val="2"/>
                <w:sz w:val="32"/>
                <w:szCs w:val="22"/>
              </w:rPr>
            </w:sdtEndPr>
            <w:sdtContent>
              <w:r>
                <w:rPr>
                  <w:rFonts w:hint="eastAsia" w:ascii="宋体" w:hAnsi="宋体" w:eastAsia="黑体" w:cs="宋体"/>
                  <w:b/>
                  <w:bCs/>
                  <w:sz w:val="32"/>
                </w:rPr>
                <w:t>7　术语说明</w:t>
              </w:r>
            </w:sdtContent>
          </w:sdt>
          <w:r>
            <w:rPr>
              <w:b/>
              <w:bCs/>
            </w:rPr>
            <w:tab/>
          </w:r>
          <w:bookmarkStart w:id="3" w:name="_Toc10049_WPSOffice_Level1Page"/>
          <w:r>
            <w:rPr>
              <w:rFonts w:hint="eastAsia" w:ascii="宋体" w:hAnsi="宋体" w:eastAsia="黑体" w:cs="宋体"/>
              <w:b/>
              <w:bCs/>
              <w:sz w:val="32"/>
            </w:rPr>
            <w:t>2</w:t>
          </w:r>
          <w:bookmarkEnd w:id="3"/>
          <w:r>
            <w:rPr>
              <w:rFonts w:hint="eastAsia" w:ascii="宋体" w:hAnsi="宋体" w:eastAsia="黑体" w:cs="宋体"/>
              <w:b/>
              <w:bCs/>
              <w:sz w:val="32"/>
            </w:rPr>
            <w:t>0</w:t>
          </w:r>
          <w:r>
            <w:rPr>
              <w:rFonts w:hint="eastAsia" w:ascii="宋体" w:hAnsi="宋体" w:eastAsia="黑体" w:cs="宋体"/>
              <w:b/>
              <w:bCs/>
              <w:sz w:val="32"/>
            </w:rPr>
            <w:fldChar w:fldCharType="end"/>
          </w:r>
        </w:p>
        <w:p>
          <w:pPr>
            <w:pStyle w:val="30"/>
            <w:tabs>
              <w:tab w:val="right" w:leader="dot" w:pos="8960"/>
            </w:tabs>
          </w:pPr>
          <w:r>
            <w:rPr>
              <w:rFonts w:hint="eastAsia"/>
            </w:rPr>
            <w:fldChar w:fldCharType="begin"/>
          </w:r>
          <w:r>
            <w:instrText xml:space="preserve"> HYPERLINK \l "_Toc21736_WPSOffice_Level1" </w:instrText>
          </w:r>
          <w:r>
            <w:rPr>
              <w:rFonts w:hint="eastAsia"/>
            </w:rPr>
            <w:fldChar w:fldCharType="separate"/>
          </w:r>
          <w:sdt>
            <w:sdtPr>
              <w:rPr>
                <w:rFonts w:hint="eastAsia" w:ascii="宋体" w:hAnsi="宋体" w:eastAsia="黑体" w:cs="宋体"/>
                <w:b/>
                <w:bCs/>
                <w:sz w:val="32"/>
              </w:rPr>
              <w:id w:val="-859887172"/>
              <w:placeholder>
                <w:docPart w:val="{2a62a877-5167-4fe3-afd1-2ddfaf0315d5}"/>
              </w:placeholder>
              <w15:color w:val="509DF3"/>
            </w:sdtPr>
            <w:sdtEndPr>
              <w:rPr>
                <w:rFonts w:hint="eastAsia" w:ascii="宋体" w:hAnsi="宋体" w:eastAsia="黑体" w:cs="宋体"/>
                <w:b/>
                <w:bCs/>
                <w:sz w:val="32"/>
              </w:rPr>
            </w:sdtEndPr>
            <w:sdtContent>
              <w:r>
                <w:rPr>
                  <w:rFonts w:hint="eastAsia" w:ascii="宋体" w:hAnsi="宋体" w:eastAsia="黑体" w:cs="宋体"/>
                  <w:b/>
                  <w:bCs/>
                  <w:sz w:val="32"/>
                </w:rPr>
                <w:t>8　附则</w:t>
              </w:r>
            </w:sdtContent>
          </w:sdt>
          <w:r>
            <w:rPr>
              <w:b/>
              <w:bCs/>
            </w:rPr>
            <w:tab/>
          </w:r>
          <w:bookmarkStart w:id="4" w:name="_Toc21736_WPSOffice_Level1Page"/>
          <w:r>
            <w:rPr>
              <w:rFonts w:hint="eastAsia" w:ascii="宋体" w:hAnsi="宋体" w:eastAsia="黑体" w:cs="宋体"/>
              <w:b/>
              <w:bCs/>
              <w:sz w:val="32"/>
            </w:rPr>
            <w:t>2</w:t>
          </w:r>
          <w:bookmarkEnd w:id="4"/>
          <w:r>
            <w:rPr>
              <w:rFonts w:hint="eastAsia" w:ascii="宋体" w:hAnsi="宋体" w:eastAsia="黑体" w:cs="宋体"/>
              <w:b/>
              <w:bCs/>
              <w:sz w:val="32"/>
            </w:rPr>
            <w:t>1</w:t>
          </w:r>
          <w:r>
            <w:rPr>
              <w:rFonts w:hint="eastAsia" w:ascii="宋体" w:hAnsi="宋体" w:eastAsia="黑体" w:cs="宋体"/>
              <w:b/>
              <w:bCs/>
              <w:sz w:val="32"/>
            </w:rPr>
            <w:fldChar w:fldCharType="end"/>
          </w:r>
        </w:p>
        <w:p>
          <w:pPr>
            <w:pStyle w:val="31"/>
            <w:tabs>
              <w:tab w:val="right" w:leader="dot" w:pos="8960"/>
            </w:tabs>
            <w:ind w:left="640"/>
            <w:rPr>
              <w:rFonts w:ascii="楷体_GB2312" w:hAnsi="楷体_GB2312" w:eastAsia="楷体_GB2312" w:cs="楷体_GB2312"/>
              <w:sz w:val="30"/>
              <w:szCs w:val="30"/>
            </w:rPr>
          </w:pPr>
          <w:r>
            <w:rPr>
              <w:rFonts w:hint="eastAsia"/>
            </w:rPr>
            <w:fldChar w:fldCharType="begin"/>
          </w:r>
          <w:r>
            <w:instrText xml:space="preserve"> HYPERLINK \l "_Toc4789_WPSOffice_Level2" </w:instrText>
          </w:r>
          <w:r>
            <w:rPr>
              <w:rFonts w:hint="eastAsia"/>
            </w:rPr>
            <w:fldChar w:fldCharType="separate"/>
          </w:r>
          <w:sdt>
            <w:sdtPr>
              <w:rPr>
                <w:rFonts w:hint="eastAsia" w:ascii="楷体_GB2312" w:hAnsi="楷体_GB2312" w:eastAsia="楷体_GB2312" w:cs="楷体_GB2312"/>
                <w:sz w:val="30"/>
                <w:szCs w:val="30"/>
              </w:rPr>
              <w:id w:val="1526141379"/>
              <w:placeholder>
                <w:docPart w:val="{b02d9288-3f7a-4a4c-b492-8594c435cd76}"/>
              </w:placeholder>
              <w15:color w:val="509DF3"/>
            </w:sdtPr>
            <w:sdtEndPr>
              <w:rPr>
                <w:rFonts w:hint="eastAsia" w:ascii="楷体_GB2312" w:hAnsi="楷体_GB2312" w:eastAsia="楷体_GB2312" w:cs="楷体_GB2312"/>
                <w:sz w:val="30"/>
                <w:szCs w:val="30"/>
              </w:rPr>
            </w:sdtEndPr>
            <w:sdtContent>
              <w:r>
                <w:rPr>
                  <w:rFonts w:hint="eastAsia" w:ascii="楷体_GB2312" w:hAnsi="楷体_GB2312" w:eastAsia="楷体_GB2312" w:cs="楷体_GB2312"/>
                  <w:sz w:val="30"/>
                  <w:szCs w:val="30"/>
                </w:rPr>
                <w:t>8.1　预案备案</w:t>
              </w:r>
            </w:sdtContent>
          </w:sdt>
          <w:r>
            <w:rPr>
              <w:rFonts w:hint="eastAsia" w:ascii="楷体_GB2312" w:hAnsi="楷体_GB2312" w:eastAsia="楷体_GB2312" w:cs="楷体_GB2312"/>
              <w:sz w:val="30"/>
              <w:szCs w:val="30"/>
            </w:rPr>
            <w:tab/>
          </w:r>
          <w:bookmarkStart w:id="5" w:name="_Toc4789_WPSOffice_Level2Page"/>
          <w:r>
            <w:rPr>
              <w:rFonts w:hint="eastAsia" w:ascii="楷体_GB2312" w:hAnsi="楷体_GB2312" w:eastAsia="楷体_GB2312" w:cs="楷体_GB2312"/>
              <w:sz w:val="30"/>
              <w:szCs w:val="30"/>
            </w:rPr>
            <w:t>2</w:t>
          </w:r>
          <w:bookmarkEnd w:id="5"/>
          <w:r>
            <w:rPr>
              <w:rFonts w:hint="eastAsia" w:ascii="楷体_GB2312" w:hAnsi="楷体_GB2312" w:eastAsia="楷体_GB2312" w:cs="楷体_GB2312"/>
              <w:sz w:val="30"/>
              <w:szCs w:val="30"/>
            </w:rPr>
            <w:t>1</w:t>
          </w:r>
          <w:r>
            <w:rPr>
              <w:rFonts w:hint="eastAsia" w:ascii="楷体_GB2312" w:hAnsi="楷体_GB2312" w:eastAsia="楷体_GB2312" w:cs="楷体_GB2312"/>
              <w:sz w:val="30"/>
              <w:szCs w:val="30"/>
            </w:rPr>
            <w:fldChar w:fldCharType="end"/>
          </w:r>
        </w:p>
        <w:p>
          <w:pPr>
            <w:pStyle w:val="31"/>
            <w:tabs>
              <w:tab w:val="right" w:leader="dot" w:pos="8960"/>
            </w:tabs>
            <w:ind w:left="640"/>
            <w:rPr>
              <w:rFonts w:ascii="楷体_GB2312" w:hAnsi="楷体_GB2312" w:eastAsia="楷体_GB2312" w:cs="楷体_GB2312"/>
              <w:sz w:val="30"/>
              <w:szCs w:val="30"/>
            </w:rPr>
          </w:pPr>
          <w:r>
            <w:rPr>
              <w:rFonts w:hint="eastAsia"/>
            </w:rPr>
            <w:fldChar w:fldCharType="begin"/>
          </w:r>
          <w:r>
            <w:instrText xml:space="preserve"> HYPERLINK \l "_Toc15489_WPSOffice_Level2" </w:instrText>
          </w:r>
          <w:r>
            <w:rPr>
              <w:rFonts w:hint="eastAsia"/>
            </w:rPr>
            <w:fldChar w:fldCharType="separate"/>
          </w:r>
          <w:sdt>
            <w:sdtPr>
              <w:rPr>
                <w:rFonts w:hint="eastAsia" w:ascii="楷体_GB2312" w:hAnsi="楷体_GB2312" w:eastAsia="楷体_GB2312" w:cs="楷体_GB2312"/>
                <w:sz w:val="30"/>
                <w:szCs w:val="30"/>
              </w:rPr>
              <w:id w:val="-1351400076"/>
              <w:placeholder>
                <w:docPart w:val="{045bf703-a26d-479c-8468-9b4ebd41752c}"/>
              </w:placeholder>
              <w15:color w:val="509DF3"/>
            </w:sdtPr>
            <w:sdtEndPr>
              <w:rPr>
                <w:rFonts w:hint="eastAsia" w:ascii="楷体_GB2312" w:hAnsi="楷体_GB2312" w:eastAsia="楷体_GB2312" w:cs="楷体_GB2312"/>
                <w:sz w:val="30"/>
                <w:szCs w:val="30"/>
              </w:rPr>
            </w:sdtEndPr>
            <w:sdtContent>
              <w:r>
                <w:rPr>
                  <w:rFonts w:hint="eastAsia" w:ascii="楷体_GB2312" w:hAnsi="楷体_GB2312" w:eastAsia="楷体_GB2312" w:cs="楷体_GB2312"/>
                  <w:sz w:val="30"/>
                  <w:szCs w:val="30"/>
                </w:rPr>
                <w:t>8.2　预案修订</w:t>
              </w:r>
            </w:sdtContent>
          </w:sdt>
          <w:r>
            <w:rPr>
              <w:rFonts w:hint="eastAsia" w:ascii="楷体_GB2312" w:hAnsi="楷体_GB2312" w:eastAsia="楷体_GB2312" w:cs="楷体_GB2312"/>
              <w:sz w:val="30"/>
              <w:szCs w:val="30"/>
            </w:rPr>
            <w:tab/>
          </w:r>
          <w:bookmarkStart w:id="6" w:name="_Toc15489_WPSOffice_Level2Page"/>
          <w:r>
            <w:rPr>
              <w:rFonts w:hint="eastAsia" w:ascii="楷体_GB2312" w:hAnsi="楷体_GB2312" w:eastAsia="楷体_GB2312" w:cs="楷体_GB2312"/>
              <w:sz w:val="30"/>
              <w:szCs w:val="30"/>
            </w:rPr>
            <w:t>2</w:t>
          </w:r>
          <w:bookmarkEnd w:id="6"/>
          <w:r>
            <w:rPr>
              <w:rFonts w:hint="eastAsia" w:ascii="楷体_GB2312" w:hAnsi="楷体_GB2312" w:eastAsia="楷体_GB2312" w:cs="楷体_GB2312"/>
              <w:sz w:val="30"/>
              <w:szCs w:val="30"/>
            </w:rPr>
            <w:t>1</w:t>
          </w:r>
          <w:r>
            <w:rPr>
              <w:rFonts w:hint="eastAsia" w:ascii="楷体_GB2312" w:hAnsi="楷体_GB2312" w:eastAsia="楷体_GB2312" w:cs="楷体_GB2312"/>
              <w:sz w:val="30"/>
              <w:szCs w:val="30"/>
            </w:rPr>
            <w:fldChar w:fldCharType="end"/>
          </w:r>
        </w:p>
        <w:p>
          <w:pPr>
            <w:pStyle w:val="31"/>
            <w:tabs>
              <w:tab w:val="right" w:leader="dot" w:pos="8960"/>
            </w:tabs>
            <w:ind w:left="640"/>
            <w:rPr>
              <w:rFonts w:ascii="楷体_GB2312" w:hAnsi="楷体_GB2312" w:eastAsia="楷体_GB2312" w:cs="楷体_GB2312"/>
              <w:sz w:val="30"/>
              <w:szCs w:val="30"/>
            </w:rPr>
          </w:pPr>
          <w:r>
            <w:rPr>
              <w:rFonts w:hint="eastAsia"/>
            </w:rPr>
            <w:fldChar w:fldCharType="begin"/>
          </w:r>
          <w:r>
            <w:instrText xml:space="preserve"> HYPERLINK \l "_Toc18959_WPSOffice_Level2" </w:instrText>
          </w:r>
          <w:r>
            <w:rPr>
              <w:rFonts w:hint="eastAsia"/>
            </w:rPr>
            <w:fldChar w:fldCharType="separate"/>
          </w:r>
          <w:sdt>
            <w:sdtPr>
              <w:rPr>
                <w:rFonts w:hint="eastAsia" w:ascii="楷体_GB2312" w:hAnsi="楷体_GB2312" w:eastAsia="楷体_GB2312" w:cs="楷体_GB2312"/>
                <w:sz w:val="30"/>
                <w:szCs w:val="30"/>
              </w:rPr>
              <w:id w:val="-1005136310"/>
              <w:placeholder>
                <w:docPart w:val="{581dca2c-4348-484f-a5f2-c4975eb81a49}"/>
              </w:placeholder>
              <w15:color w:val="509DF3"/>
            </w:sdtPr>
            <w:sdtEndPr>
              <w:rPr>
                <w:rFonts w:hint="eastAsia" w:ascii="楷体_GB2312" w:hAnsi="楷体_GB2312" w:eastAsia="楷体_GB2312" w:cs="楷体_GB2312"/>
                <w:sz w:val="30"/>
                <w:szCs w:val="30"/>
              </w:rPr>
            </w:sdtEndPr>
            <w:sdtContent>
              <w:r>
                <w:rPr>
                  <w:rFonts w:hint="eastAsia" w:ascii="楷体_GB2312" w:hAnsi="楷体_GB2312" w:eastAsia="楷体_GB2312" w:cs="楷体_GB2312"/>
                  <w:sz w:val="30"/>
                  <w:szCs w:val="30"/>
                </w:rPr>
                <w:t>8.3　预案解释和实施</w:t>
              </w:r>
            </w:sdtContent>
          </w:sdt>
          <w:r>
            <w:rPr>
              <w:rFonts w:hint="eastAsia" w:ascii="楷体_GB2312" w:hAnsi="楷体_GB2312" w:eastAsia="楷体_GB2312" w:cs="楷体_GB2312"/>
              <w:sz w:val="30"/>
              <w:szCs w:val="30"/>
            </w:rPr>
            <w:tab/>
          </w:r>
          <w:bookmarkStart w:id="7" w:name="_Toc18959_WPSOffice_Level2Page"/>
          <w:r>
            <w:rPr>
              <w:rFonts w:hint="eastAsia" w:ascii="楷体_GB2312" w:hAnsi="楷体_GB2312" w:eastAsia="楷体_GB2312" w:cs="楷体_GB2312"/>
              <w:sz w:val="30"/>
              <w:szCs w:val="30"/>
            </w:rPr>
            <w:t>2</w:t>
          </w:r>
          <w:bookmarkEnd w:id="7"/>
          <w:r>
            <w:rPr>
              <w:rFonts w:hint="eastAsia" w:ascii="楷体_GB2312" w:hAnsi="楷体_GB2312" w:eastAsia="楷体_GB2312" w:cs="楷体_GB2312"/>
              <w:sz w:val="30"/>
              <w:szCs w:val="30"/>
            </w:rPr>
            <w:t>2</w:t>
          </w:r>
          <w:r>
            <w:rPr>
              <w:rFonts w:hint="eastAsia" w:ascii="楷体_GB2312" w:hAnsi="楷体_GB2312" w:eastAsia="楷体_GB2312" w:cs="楷体_GB2312"/>
              <w:sz w:val="30"/>
              <w:szCs w:val="30"/>
            </w:rPr>
            <w:fldChar w:fldCharType="end"/>
          </w:r>
        </w:p>
        <w:p>
          <w:pPr>
            <w:pStyle w:val="5"/>
            <w:snapToGrid w:val="0"/>
            <w:ind w:firstLine="0" w:firstLineChars="0"/>
            <w:rPr>
              <w:rFonts w:hint="default" w:ascii="宋体" w:hAnsi="宋体" w:eastAsia="黑体"/>
              <w:bCs/>
              <w:szCs w:val="20"/>
            </w:rPr>
          </w:pPr>
          <w:r>
            <w:rPr>
              <w:rFonts w:ascii="宋体" w:hAnsi="宋体" w:eastAsia="黑体"/>
              <w:bCs/>
              <w:szCs w:val="20"/>
            </w:rPr>
            <w:t>9　附件</w:t>
          </w:r>
        </w:p>
        <w:p>
          <w:pPr>
            <w:pStyle w:val="31"/>
            <w:tabs>
              <w:tab w:val="right" w:leader="dot" w:pos="8960"/>
            </w:tabs>
            <w:ind w:left="640"/>
            <w:rPr>
              <w:rFonts w:ascii="楷体_GB2312" w:hAnsi="楷体_GB2312" w:eastAsia="楷体_GB2312" w:cs="楷体_GB2312"/>
              <w:sz w:val="30"/>
              <w:szCs w:val="30"/>
            </w:rPr>
          </w:pPr>
          <w:r>
            <w:rPr>
              <w:rFonts w:hint="eastAsia"/>
            </w:rPr>
            <w:fldChar w:fldCharType="begin"/>
          </w:r>
          <w:r>
            <w:instrText xml:space="preserve"> HYPERLINK \l "_Toc18959_WPSOffice_Level2" </w:instrText>
          </w:r>
          <w:r>
            <w:rPr>
              <w:rFonts w:hint="eastAsia"/>
            </w:rPr>
            <w:fldChar w:fldCharType="separate"/>
          </w:r>
          <w:sdt>
            <w:sdtPr>
              <w:rPr>
                <w:rFonts w:hint="eastAsia" w:ascii="楷体_GB2312" w:hAnsi="楷体_GB2312" w:eastAsia="楷体_GB2312" w:cs="楷体_GB2312"/>
                <w:sz w:val="30"/>
                <w:szCs w:val="30"/>
              </w:rPr>
              <w:id w:val="-747806224"/>
              <w:placeholder>
                <w:docPart w:val="{f45043c0-391d-4897-9149-42cae49a28fb}"/>
              </w:placeholder>
              <w15:color w:val="509DF3"/>
            </w:sdtPr>
            <w:sdtEndPr>
              <w:rPr>
                <w:rFonts w:hint="eastAsia" w:ascii="楷体_GB2312" w:hAnsi="楷体_GB2312" w:eastAsia="楷体_GB2312" w:cs="楷体_GB2312"/>
                <w:sz w:val="30"/>
                <w:szCs w:val="30"/>
              </w:rPr>
            </w:sdtEndPr>
            <w:sdtContent>
              <w:r>
                <w:rPr>
                  <w:rFonts w:hint="eastAsia" w:ascii="楷体_GB2312" w:hAnsi="楷体_GB2312" w:eastAsia="楷体_GB2312" w:cs="楷体_GB2312"/>
                  <w:sz w:val="30"/>
                  <w:szCs w:val="30"/>
                </w:rPr>
                <w:t>9.1　成员单位的职责</w:t>
              </w:r>
            </w:sdtContent>
          </w:sdt>
          <w:r>
            <w:rPr>
              <w:rFonts w:hint="eastAsia" w:ascii="楷体_GB2312" w:hAnsi="楷体_GB2312" w:eastAsia="楷体_GB2312" w:cs="楷体_GB2312"/>
              <w:sz w:val="30"/>
              <w:szCs w:val="30"/>
            </w:rPr>
            <w:tab/>
          </w:r>
          <w:r>
            <w:rPr>
              <w:rFonts w:hint="eastAsia" w:ascii="楷体_GB2312" w:hAnsi="楷体_GB2312" w:eastAsia="楷体_GB2312" w:cs="楷体_GB2312"/>
              <w:sz w:val="30"/>
              <w:szCs w:val="30"/>
            </w:rPr>
            <w:t>23</w:t>
          </w:r>
          <w:r>
            <w:rPr>
              <w:rFonts w:hint="eastAsia" w:ascii="楷体_GB2312" w:hAnsi="楷体_GB2312" w:eastAsia="楷体_GB2312" w:cs="楷体_GB2312"/>
              <w:sz w:val="30"/>
              <w:szCs w:val="30"/>
            </w:rPr>
            <w:fldChar w:fldCharType="end"/>
          </w:r>
        </w:p>
        <w:p>
          <w:pPr>
            <w:pStyle w:val="31"/>
            <w:tabs>
              <w:tab w:val="right" w:leader="dot" w:pos="8960"/>
            </w:tabs>
            <w:ind w:left="640"/>
            <w:rPr>
              <w:rFonts w:ascii="楷体_GB2312" w:hAnsi="楷体_GB2312" w:eastAsia="楷体_GB2312" w:cs="楷体_GB2312"/>
              <w:sz w:val="30"/>
              <w:szCs w:val="30"/>
            </w:rPr>
          </w:pPr>
          <w:r>
            <w:rPr>
              <w:rFonts w:hint="eastAsia"/>
            </w:rPr>
            <w:fldChar w:fldCharType="begin"/>
          </w:r>
          <w:r>
            <w:instrText xml:space="preserve"> HYPERLINK \l "_Toc18959_WPSOffice_Level2" </w:instrText>
          </w:r>
          <w:r>
            <w:rPr>
              <w:rFonts w:hint="eastAsia"/>
            </w:rPr>
            <w:fldChar w:fldCharType="separate"/>
          </w:r>
          <w:sdt>
            <w:sdtPr>
              <w:rPr>
                <w:rFonts w:hint="eastAsia" w:ascii="楷体_GB2312" w:hAnsi="楷体_GB2312" w:eastAsia="楷体_GB2312" w:cs="楷体_GB2312"/>
                <w:sz w:val="30"/>
                <w:szCs w:val="30"/>
              </w:rPr>
              <w:id w:val="-1987395439"/>
              <w:placeholder>
                <w:docPart w:val="{393db793-fda7-449a-855f-d9fa26ceb41d}"/>
              </w:placeholder>
              <w15:color w:val="509DF3"/>
            </w:sdtPr>
            <w:sdtEndPr>
              <w:rPr>
                <w:rFonts w:hint="eastAsia" w:ascii="楷体_GB2312" w:hAnsi="楷体_GB2312" w:eastAsia="楷体_GB2312" w:cs="楷体_GB2312"/>
                <w:sz w:val="30"/>
                <w:szCs w:val="30"/>
              </w:rPr>
            </w:sdtEndPr>
            <w:sdtContent>
              <w:r>
                <w:rPr>
                  <w:rFonts w:hint="eastAsia" w:ascii="楷体_GB2312" w:hAnsi="楷体_GB2312" w:eastAsia="楷体_GB2312" w:cs="楷体_GB2312"/>
                  <w:sz w:val="30"/>
                  <w:szCs w:val="30"/>
                </w:rPr>
                <w:t>9.2　报告参考模板</w:t>
              </w:r>
            </w:sdtContent>
          </w:sdt>
          <w:r>
            <w:rPr>
              <w:rFonts w:hint="eastAsia" w:ascii="楷体_GB2312" w:hAnsi="楷体_GB2312" w:eastAsia="楷体_GB2312" w:cs="楷体_GB2312"/>
              <w:sz w:val="30"/>
              <w:szCs w:val="30"/>
            </w:rPr>
            <w:tab/>
          </w:r>
          <w:r>
            <w:rPr>
              <w:rFonts w:hint="eastAsia" w:ascii="楷体_GB2312" w:hAnsi="楷体_GB2312" w:eastAsia="楷体_GB2312" w:cs="楷体_GB2312"/>
              <w:sz w:val="30"/>
              <w:szCs w:val="30"/>
            </w:rPr>
            <w:t>25</w:t>
          </w:r>
          <w:r>
            <w:rPr>
              <w:rFonts w:hint="eastAsia" w:ascii="楷体_GB2312" w:hAnsi="楷体_GB2312" w:eastAsia="楷体_GB2312" w:cs="楷体_GB2312"/>
              <w:sz w:val="30"/>
              <w:szCs w:val="30"/>
            </w:rPr>
            <w:fldChar w:fldCharType="end"/>
          </w:r>
        </w:p>
        <w:p>
          <w:pPr>
            <w:pStyle w:val="31"/>
            <w:tabs>
              <w:tab w:val="right" w:leader="dot" w:pos="8960"/>
            </w:tabs>
            <w:ind w:left="640"/>
          </w:pPr>
          <w:r>
            <w:rPr>
              <w:rFonts w:hint="eastAsia"/>
            </w:rPr>
            <w:fldChar w:fldCharType="begin"/>
          </w:r>
          <w:r>
            <w:instrText xml:space="preserve"> HYPERLINK \l "_Toc18959_WPSOffice_Level2" </w:instrText>
          </w:r>
          <w:r>
            <w:rPr>
              <w:rFonts w:hint="eastAsia"/>
            </w:rPr>
            <w:fldChar w:fldCharType="separate"/>
          </w:r>
          <w:sdt>
            <w:sdtPr>
              <w:rPr>
                <w:rFonts w:hint="eastAsia" w:ascii="楷体_GB2312" w:hAnsi="楷体_GB2312" w:eastAsia="楷体_GB2312" w:cs="楷体_GB2312"/>
                <w:sz w:val="30"/>
                <w:szCs w:val="30"/>
              </w:rPr>
              <w:id w:val="-226531460"/>
              <w:placeholder>
                <w:docPart w:val="{edd9a7b3-abec-4221-b100-63283ec97b1e}"/>
              </w:placeholder>
              <w15:color w:val="509DF3"/>
            </w:sdtPr>
            <w:sdtEndPr>
              <w:rPr>
                <w:rFonts w:hint="eastAsia" w:ascii="楷体_GB2312" w:hAnsi="楷体_GB2312" w:eastAsia="楷体_GB2312" w:cs="楷体_GB2312"/>
                <w:sz w:val="30"/>
                <w:szCs w:val="30"/>
              </w:rPr>
            </w:sdtEndPr>
            <w:sdtContent>
              <w:r>
                <w:rPr>
                  <w:rFonts w:hint="eastAsia" w:ascii="楷体_GB2312" w:hAnsi="楷体_GB2312" w:eastAsia="楷体_GB2312" w:cs="楷体_GB2312"/>
                  <w:sz w:val="30"/>
                  <w:szCs w:val="30"/>
                </w:rPr>
                <w:t>9.3　Ⅲ级响应处置流程图</w:t>
              </w:r>
            </w:sdtContent>
          </w:sdt>
          <w:r>
            <w:rPr>
              <w:rFonts w:hint="eastAsia" w:ascii="楷体_GB2312" w:hAnsi="楷体_GB2312" w:eastAsia="楷体_GB2312" w:cs="楷体_GB2312"/>
              <w:sz w:val="30"/>
              <w:szCs w:val="30"/>
            </w:rPr>
            <w:tab/>
          </w:r>
          <w:r>
            <w:rPr>
              <w:rFonts w:hint="eastAsia" w:ascii="楷体_GB2312" w:hAnsi="楷体_GB2312" w:eastAsia="楷体_GB2312" w:cs="楷体_GB2312"/>
              <w:sz w:val="30"/>
              <w:szCs w:val="30"/>
            </w:rPr>
            <w:t>27</w:t>
          </w:r>
          <w:r>
            <w:rPr>
              <w:rFonts w:hint="eastAsia" w:ascii="楷体_GB2312" w:hAnsi="楷体_GB2312" w:eastAsia="楷体_GB2312" w:cs="楷体_GB2312"/>
              <w:sz w:val="30"/>
              <w:szCs w:val="30"/>
            </w:rPr>
            <w:fldChar w:fldCharType="end"/>
          </w:r>
        </w:p>
        <w:p>
          <w:pPr>
            <w:pStyle w:val="31"/>
            <w:tabs>
              <w:tab w:val="right" w:leader="dot" w:pos="8960"/>
            </w:tabs>
            <w:ind w:left="640"/>
          </w:pPr>
        </w:p>
      </w:sdtContent>
    </w:sdt>
    <w:bookmarkEnd w:id="0"/>
    <w:p>
      <w:pPr>
        <w:pStyle w:val="2"/>
        <w:ind w:firstLine="640"/>
        <w:rPr>
          <w:b w:val="0"/>
          <w:bCs/>
        </w:rPr>
      </w:pPr>
      <w:bookmarkStart w:id="8" w:name="_Toc16066"/>
      <w:bookmarkStart w:id="9" w:name="_Toc20962"/>
      <w:bookmarkStart w:id="10" w:name="_Toc25443"/>
      <w:bookmarkStart w:id="11" w:name="_Toc10121"/>
      <w:bookmarkStart w:id="12" w:name="_Toc27967"/>
      <w:bookmarkStart w:id="13" w:name="_Toc20129"/>
      <w:bookmarkStart w:id="14" w:name="_Toc27694"/>
      <w:bookmarkStart w:id="15" w:name="_Toc4541_WPSOffice_Level1"/>
      <w:bookmarkStart w:id="16" w:name="_Toc15399"/>
      <w:bookmarkStart w:id="17" w:name="_Toc4611"/>
      <w:bookmarkStart w:id="18" w:name="_Toc11584"/>
      <w:bookmarkStart w:id="19" w:name="_Toc3236"/>
      <w:bookmarkStart w:id="20" w:name="_Toc16568"/>
      <w:bookmarkStart w:id="21" w:name="_Toc10093"/>
      <w:bookmarkStart w:id="22" w:name="_Toc8658"/>
      <w:bookmarkStart w:id="23" w:name="_Toc27328"/>
      <w:bookmarkStart w:id="24" w:name="_Toc27185"/>
      <w:bookmarkStart w:id="25" w:name="_Toc22938"/>
      <w:bookmarkStart w:id="26" w:name="_Toc11267"/>
      <w:bookmarkStart w:id="27" w:name="_Toc2400"/>
      <w:bookmarkStart w:id="28" w:name="_Toc28576"/>
      <w:bookmarkStart w:id="29" w:name="_Toc15453"/>
      <w:bookmarkStart w:id="30" w:name="_Toc23307"/>
      <w:bookmarkStart w:id="31" w:name="_Toc25067"/>
      <w:bookmarkStart w:id="32" w:name="_Toc3345"/>
      <w:bookmarkStart w:id="33" w:name="_Toc23043"/>
      <w:bookmarkStart w:id="34" w:name="_Toc32165"/>
      <w:bookmarkStart w:id="35" w:name="_Toc24942"/>
      <w:bookmarkStart w:id="36" w:name="_Toc30610"/>
      <w:bookmarkStart w:id="37" w:name="_Toc17529"/>
      <w:bookmarkStart w:id="38" w:name="_Toc26650"/>
      <w:bookmarkStart w:id="39" w:name="_Toc21522"/>
      <w:bookmarkStart w:id="40" w:name="_Toc5168"/>
      <w:bookmarkStart w:id="41" w:name="_Toc10501"/>
      <w:bookmarkStart w:id="42" w:name="_Toc24500"/>
      <w:bookmarkStart w:id="43" w:name="_Toc425"/>
      <w:bookmarkStart w:id="44" w:name="_Toc26730"/>
      <w:bookmarkStart w:id="45" w:name="_Toc20423"/>
      <w:bookmarkStart w:id="46" w:name="_Toc15238"/>
    </w:p>
    <w:p>
      <w:pPr>
        <w:pStyle w:val="2"/>
        <w:ind w:firstLine="640"/>
        <w:rPr>
          <w:rFonts w:hint="default"/>
          <w:b w:val="0"/>
          <w:bCs/>
        </w:rPr>
      </w:pPr>
      <w:r>
        <w:rPr>
          <w:b w:val="0"/>
          <w:bCs/>
        </w:rPr>
        <w:t>1　总则</w:t>
      </w: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pPr>
        <w:pStyle w:val="3"/>
        <w:snapToGrid w:val="0"/>
        <w:spacing w:line="560" w:lineRule="exact"/>
        <w:ind w:firstLine="643"/>
        <w:rPr>
          <w:b w:val="0"/>
        </w:rPr>
      </w:pPr>
      <w:bookmarkStart w:id="47" w:name="_Toc24265"/>
      <w:bookmarkStart w:id="48" w:name="_Toc966"/>
      <w:bookmarkStart w:id="49" w:name="_Toc8821"/>
      <w:bookmarkStart w:id="50" w:name="_Toc1075"/>
      <w:bookmarkStart w:id="51" w:name="_Toc15970"/>
      <w:bookmarkStart w:id="52" w:name="_Toc17697"/>
      <w:bookmarkStart w:id="53" w:name="_Toc19459"/>
      <w:bookmarkStart w:id="54" w:name="_Toc8035"/>
      <w:bookmarkStart w:id="55" w:name="_Toc985"/>
      <w:bookmarkStart w:id="56" w:name="_Toc17868_WPSOffice_Level2"/>
      <w:bookmarkStart w:id="57" w:name="_Toc21674"/>
      <w:bookmarkStart w:id="58" w:name="_Toc28602"/>
      <w:bookmarkStart w:id="59" w:name="_Toc2407"/>
      <w:bookmarkStart w:id="60" w:name="_Toc15929"/>
      <w:bookmarkStart w:id="61" w:name="_Toc20284"/>
      <w:bookmarkStart w:id="62" w:name="_Toc23044"/>
      <w:bookmarkStart w:id="63" w:name="_Toc7083"/>
      <w:bookmarkStart w:id="64" w:name="_Toc21562"/>
      <w:bookmarkStart w:id="65" w:name="_Toc25783"/>
      <w:bookmarkStart w:id="66" w:name="_Toc30547"/>
      <w:bookmarkStart w:id="67" w:name="_Toc32366"/>
      <w:bookmarkStart w:id="68" w:name="_Toc30732"/>
      <w:bookmarkStart w:id="69" w:name="_Toc29334"/>
      <w:bookmarkStart w:id="70" w:name="_Toc31637"/>
      <w:bookmarkStart w:id="71" w:name="_Toc1562"/>
      <w:bookmarkStart w:id="72" w:name="_Toc24478"/>
      <w:bookmarkStart w:id="73" w:name="_Toc3372"/>
      <w:bookmarkStart w:id="74" w:name="_Toc855"/>
      <w:bookmarkStart w:id="75" w:name="_Toc27940"/>
      <w:bookmarkStart w:id="76" w:name="_Toc9574"/>
      <w:bookmarkStart w:id="77" w:name="_Toc26157"/>
      <w:bookmarkStart w:id="78" w:name="_Toc1685"/>
      <w:bookmarkStart w:id="79" w:name="_Toc10613"/>
      <w:bookmarkStart w:id="80" w:name="_Toc6210"/>
      <w:bookmarkStart w:id="81" w:name="_Toc21511"/>
      <w:bookmarkStart w:id="82" w:name="_Toc6743"/>
      <w:bookmarkStart w:id="83" w:name="_Toc4852"/>
      <w:bookmarkStart w:id="84" w:name="_Toc29012"/>
      <w:bookmarkStart w:id="85" w:name="_Toc839"/>
      <w:r>
        <w:rPr>
          <w:rFonts w:hint="eastAsia"/>
          <w:bCs w:val="0"/>
        </w:rPr>
        <w:t>1.1　编制目的</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pPr>
        <w:snapToGrid w:val="0"/>
        <w:ind w:firstLine="640"/>
        <w:rPr>
          <w:bCs/>
        </w:rPr>
      </w:pPr>
      <w:r>
        <w:rPr>
          <w:rFonts w:hint="eastAsia"/>
          <w:bCs/>
        </w:rPr>
        <w:t>贯彻落实党的十九大精神，按照习近平总书记关于打好防范化解重大风险攻坚战的系列指示精神，把主动防范化解系统性金融风险摆在突出重要位置，推进本市金融应急管理体系和能力现代化，稳妥、有序和高效地防范和处置本市金融突发事件，最大限度减少金融突发事件对经济社会造成的危害和损失，切实维护我市金融安全和社会稳定。</w:t>
      </w:r>
    </w:p>
    <w:p>
      <w:pPr>
        <w:pStyle w:val="3"/>
        <w:snapToGrid w:val="0"/>
        <w:spacing w:line="560" w:lineRule="exact"/>
        <w:ind w:firstLine="643"/>
        <w:rPr>
          <w:bCs w:val="0"/>
        </w:rPr>
      </w:pPr>
      <w:bookmarkStart w:id="86" w:name="_Toc14436"/>
      <w:bookmarkStart w:id="87" w:name="_Toc16185"/>
      <w:bookmarkStart w:id="88" w:name="_Toc13982"/>
      <w:bookmarkStart w:id="89" w:name="_Toc31454"/>
      <w:bookmarkStart w:id="90" w:name="_Toc30591"/>
      <w:bookmarkStart w:id="91" w:name="_Toc20514"/>
      <w:bookmarkStart w:id="92" w:name="_Toc29718"/>
      <w:bookmarkStart w:id="93" w:name="_Toc31087"/>
      <w:bookmarkStart w:id="94" w:name="_Toc23378"/>
      <w:bookmarkStart w:id="95" w:name="_Toc31595"/>
      <w:bookmarkStart w:id="96" w:name="_Toc10199"/>
      <w:bookmarkStart w:id="97" w:name="_Toc24231"/>
      <w:bookmarkStart w:id="98" w:name="_Toc24869"/>
      <w:bookmarkStart w:id="99" w:name="_Toc6573"/>
      <w:bookmarkStart w:id="100" w:name="_Toc3812"/>
      <w:bookmarkStart w:id="101" w:name="_Toc6589"/>
      <w:bookmarkStart w:id="102" w:name="_Toc15444"/>
      <w:bookmarkStart w:id="103" w:name="_Toc27943"/>
      <w:bookmarkStart w:id="104" w:name="_Toc9242"/>
      <w:bookmarkStart w:id="105" w:name="_Toc10836"/>
      <w:bookmarkStart w:id="106" w:name="_Toc3098"/>
      <w:bookmarkStart w:id="107" w:name="_Toc32695"/>
      <w:bookmarkStart w:id="108" w:name="_Toc7171"/>
      <w:bookmarkStart w:id="109" w:name="_Toc26651"/>
      <w:bookmarkStart w:id="110" w:name="_Toc17714"/>
      <w:bookmarkStart w:id="111" w:name="_Toc1510"/>
      <w:bookmarkStart w:id="112" w:name="_Toc7283"/>
      <w:bookmarkStart w:id="113" w:name="_Toc27166"/>
      <w:bookmarkStart w:id="114" w:name="_Toc14777_WPSOffice_Level2"/>
      <w:bookmarkStart w:id="115" w:name="_Toc29364"/>
      <w:bookmarkStart w:id="116" w:name="_Toc32168"/>
      <w:bookmarkStart w:id="117" w:name="_Toc398"/>
      <w:bookmarkStart w:id="118" w:name="_Toc27657"/>
      <w:bookmarkStart w:id="119" w:name="_Toc15408"/>
      <w:bookmarkStart w:id="120" w:name="_Toc22443"/>
      <w:bookmarkStart w:id="121" w:name="_Toc20414"/>
      <w:bookmarkStart w:id="122" w:name="_Toc5187"/>
      <w:bookmarkStart w:id="123" w:name="_Toc10587"/>
      <w:bookmarkStart w:id="124" w:name="_Toc5377"/>
      <w:r>
        <w:rPr>
          <w:rFonts w:hint="eastAsia"/>
          <w:bCs w:val="0"/>
        </w:rPr>
        <w:t>1.2　编制依据</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pPr>
        <w:snapToGrid w:val="0"/>
        <w:ind w:firstLine="640"/>
        <w:rPr>
          <w:bCs/>
        </w:rPr>
      </w:pPr>
      <w:r>
        <w:rPr>
          <w:rFonts w:hint="eastAsia"/>
          <w:bCs/>
        </w:rPr>
        <w:t>《中华人民共和国突发事件应对法》《中华人民共和国中国人民银行法》《中华人民共和国商业银行法》《中华人民共和国银行业监督管理法》《中华人民共和国证券法》《中华人民共和国保险法》《中华人民共和国证券投资基金法》《防范和处置非法集资条例》《期货交易暂行管理条例》《中华人民共和国外汇管理条例》《国家金融突发事件应急预案（简本）》《</w:t>
      </w:r>
      <w:r>
        <w:rPr>
          <w:bCs/>
        </w:rPr>
        <w:t>广东省突发事件应急预案</w:t>
      </w:r>
      <w:r>
        <w:rPr>
          <w:rFonts w:hint="eastAsia"/>
          <w:bCs/>
        </w:rPr>
        <w:t>管理办法》《广东省金融突发事件应急预案》《广州市突发事件总体应急预案》及相关法规和专项应急预案等。</w:t>
      </w:r>
    </w:p>
    <w:p>
      <w:pPr>
        <w:pStyle w:val="3"/>
        <w:snapToGrid w:val="0"/>
        <w:spacing w:line="560" w:lineRule="exact"/>
        <w:ind w:firstLine="643"/>
        <w:rPr>
          <w:bCs w:val="0"/>
        </w:rPr>
      </w:pPr>
      <w:bookmarkStart w:id="125" w:name="_Toc30165"/>
      <w:bookmarkStart w:id="126" w:name="_Toc15362"/>
      <w:bookmarkStart w:id="127" w:name="_Toc781"/>
      <w:bookmarkStart w:id="128" w:name="_Toc11569"/>
      <w:bookmarkStart w:id="129" w:name="_Toc10473"/>
      <w:bookmarkStart w:id="130" w:name="_Toc7097"/>
      <w:bookmarkStart w:id="131" w:name="_Toc28144"/>
      <w:bookmarkStart w:id="132" w:name="_Toc15915"/>
      <w:bookmarkStart w:id="133" w:name="_Toc9501"/>
      <w:bookmarkStart w:id="134" w:name="_Toc24002"/>
      <w:bookmarkStart w:id="135" w:name="_Toc12152"/>
      <w:bookmarkStart w:id="136" w:name="_Toc28698"/>
      <w:bookmarkStart w:id="137" w:name="_Toc9954"/>
      <w:bookmarkStart w:id="138" w:name="_Toc8013"/>
      <w:bookmarkStart w:id="139" w:name="_Toc7494"/>
      <w:bookmarkStart w:id="140" w:name="_Toc8405"/>
      <w:bookmarkStart w:id="141" w:name="_Toc31245"/>
      <w:bookmarkStart w:id="142" w:name="_Toc10524"/>
      <w:bookmarkStart w:id="143" w:name="_Toc24847"/>
      <w:bookmarkStart w:id="144" w:name="_Toc27408"/>
      <w:bookmarkStart w:id="145" w:name="_Toc26954"/>
      <w:bookmarkStart w:id="146" w:name="_Toc31801_WPSOffice_Level2"/>
      <w:bookmarkStart w:id="147" w:name="_Toc11050"/>
      <w:bookmarkStart w:id="148" w:name="_Toc4935"/>
      <w:bookmarkStart w:id="149" w:name="_Toc27746"/>
      <w:bookmarkStart w:id="150" w:name="_Toc574"/>
      <w:bookmarkStart w:id="151" w:name="_Toc15957"/>
      <w:bookmarkStart w:id="152" w:name="_Toc818"/>
      <w:bookmarkStart w:id="153" w:name="_Toc12066"/>
      <w:bookmarkStart w:id="154" w:name="_Toc32103"/>
      <w:bookmarkStart w:id="155" w:name="_Toc23294"/>
      <w:bookmarkStart w:id="156" w:name="_Toc2871"/>
      <w:bookmarkStart w:id="157" w:name="_Toc17116"/>
      <w:bookmarkStart w:id="158" w:name="_Toc28399"/>
      <w:bookmarkStart w:id="159" w:name="_Toc26272"/>
      <w:bookmarkStart w:id="160" w:name="_Toc421"/>
      <w:bookmarkStart w:id="161" w:name="_Toc26581"/>
      <w:bookmarkStart w:id="162" w:name="_Toc31566"/>
      <w:bookmarkStart w:id="163" w:name="_Toc24040"/>
      <w:r>
        <w:rPr>
          <w:rFonts w:hint="eastAsia"/>
          <w:bCs w:val="0"/>
        </w:rPr>
        <w:t>1.3　适用范围</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pPr>
        <w:snapToGrid w:val="0"/>
        <w:ind w:firstLine="640"/>
        <w:rPr>
          <w:bCs/>
          <w:color w:val="0000FF"/>
        </w:rPr>
      </w:pPr>
      <w:r>
        <w:rPr>
          <w:rFonts w:hint="eastAsia"/>
          <w:bCs/>
        </w:rPr>
        <w:t>本预案所称的</w:t>
      </w:r>
      <w:r>
        <w:rPr>
          <w:rFonts w:hint="eastAsia"/>
          <w:bCs/>
          <w:color w:val="000000" w:themeColor="text1"/>
          <w14:textFill>
            <w14:solidFill>
              <w14:schemeClr w14:val="tx1"/>
            </w14:solidFill>
          </w14:textFill>
        </w:rPr>
        <w:t>金融突发事件，是指金融机构、金融市场、金融基础设施或其他金融领域突然发生的、严重影响或可能严重影响金融和经济社会稳定、需要立即处置的金融事件。主要适用于下列突发事件的应急处置：</w:t>
      </w:r>
    </w:p>
    <w:p>
      <w:pPr>
        <w:snapToGrid w:val="0"/>
        <w:ind w:firstLine="640"/>
        <w:rPr>
          <w:bCs/>
        </w:rPr>
      </w:pPr>
      <w:r>
        <w:rPr>
          <w:rFonts w:hint="eastAsia" w:cs="Times New Roman"/>
          <w:bCs/>
        </w:rPr>
        <w:t>（</w:t>
      </w:r>
      <w:r>
        <w:rPr>
          <w:rFonts w:cs="Times New Roman"/>
          <w:bCs/>
        </w:rPr>
        <w:t>1</w:t>
      </w:r>
      <w:r>
        <w:rPr>
          <w:rFonts w:hint="eastAsia" w:cs="Times New Roman"/>
          <w:bCs/>
        </w:rPr>
        <w:t>）</w:t>
      </w:r>
      <w:r>
        <w:rPr>
          <w:rFonts w:hint="eastAsia"/>
          <w:bCs/>
        </w:rPr>
        <w:t>国内或国际重大事件引发的危及本市行政区域内金融稳定的金融突发事件。</w:t>
      </w:r>
    </w:p>
    <w:p>
      <w:pPr>
        <w:snapToGrid w:val="0"/>
        <w:ind w:firstLine="640"/>
        <w:rPr>
          <w:bCs/>
        </w:rPr>
      </w:pPr>
      <w:r>
        <w:rPr>
          <w:rFonts w:hint="eastAsia"/>
          <w:bCs/>
        </w:rPr>
        <w:t>（2）自然灾害、事故灾难、公共卫生事件或社会安全事件引发的危及金融稳定的金融突发事件。</w:t>
      </w:r>
    </w:p>
    <w:p>
      <w:pPr>
        <w:snapToGrid w:val="0"/>
        <w:ind w:firstLine="640"/>
        <w:rPr>
          <w:bCs/>
        </w:rPr>
      </w:pPr>
      <w:r>
        <w:rPr>
          <w:rFonts w:hint="eastAsia"/>
          <w:bCs/>
        </w:rPr>
        <w:t>（3）大规模非法集资、非法设立金融机构、非法从事金融活动以及金融机构违法违规经营等引发的危害金融稳定的金融突发事件。</w:t>
      </w:r>
    </w:p>
    <w:p>
      <w:pPr>
        <w:snapToGrid w:val="0"/>
        <w:ind w:firstLine="640"/>
      </w:pPr>
      <w:r>
        <w:rPr>
          <w:rFonts w:hint="eastAsia"/>
          <w:bCs/>
        </w:rPr>
        <w:t>（4）本市行政区域内金融机构由于大规模挤提、挤兑或退保情况，引发该机构所属系统或全省金融系统挤提、挤兑的金融突发事件。</w:t>
      </w:r>
    </w:p>
    <w:p>
      <w:pPr>
        <w:snapToGrid w:val="0"/>
        <w:ind w:firstLine="640"/>
        <w:rPr>
          <w:bCs/>
        </w:rPr>
      </w:pPr>
      <w:r>
        <w:rPr>
          <w:rFonts w:hint="eastAsia"/>
          <w:bCs/>
        </w:rPr>
        <w:t>（5）市场风险、信用风险、操作风险、流动性风险引发的金融突发事件，包括市内金融媒介（如银行、证券公司、保险公司等）、金融市场（股票市场、债券市场、期货市场等）、各类交易场所（区域性股权交易市场、产权交易市场等）和市场基础设施（支付体系等）等发生的严重危害金融稳定，需要本市立即处置的金融突发事件。</w:t>
      </w:r>
    </w:p>
    <w:p>
      <w:pPr>
        <w:pStyle w:val="16"/>
        <w:widowControl/>
        <w:spacing w:beforeAutospacing="0" w:afterAutospacing="0" w:line="480" w:lineRule="auto"/>
        <w:ind w:firstLine="640"/>
      </w:pPr>
      <w:r>
        <w:rPr>
          <w:bCs/>
          <w:kern w:val="2"/>
          <w:sz w:val="32"/>
        </w:rPr>
        <w:t>（6）</w:t>
      </w:r>
      <w:r>
        <w:rPr>
          <w:rFonts w:hint="eastAsia" w:cstheme="minorBidi"/>
          <w:bCs/>
          <w:kern w:val="2"/>
          <w:sz w:val="32"/>
        </w:rPr>
        <w:t>实体经济风险传导至金融领域引发或者可能引发严重影响全市或区域金融稳定的金融突发事件。</w:t>
      </w:r>
    </w:p>
    <w:p>
      <w:pPr>
        <w:snapToGrid w:val="0"/>
        <w:ind w:firstLine="640"/>
        <w:rPr>
          <w:bCs/>
        </w:rPr>
      </w:pPr>
      <w:r>
        <w:rPr>
          <w:rFonts w:hint="eastAsia"/>
          <w:bCs/>
        </w:rPr>
        <w:t>（7）其他影响金融安全运行的突发事件。</w:t>
      </w:r>
    </w:p>
    <w:p>
      <w:pPr>
        <w:pStyle w:val="3"/>
        <w:snapToGrid w:val="0"/>
        <w:spacing w:line="560" w:lineRule="exact"/>
        <w:ind w:firstLine="643"/>
        <w:rPr>
          <w:bCs w:val="0"/>
        </w:rPr>
      </w:pPr>
      <w:bookmarkStart w:id="164" w:name="_Toc30970"/>
      <w:bookmarkStart w:id="165" w:name="_Toc19974"/>
      <w:bookmarkStart w:id="166" w:name="_Toc32126"/>
      <w:bookmarkStart w:id="167" w:name="_Toc31471"/>
      <w:bookmarkStart w:id="168" w:name="_Toc8807"/>
      <w:bookmarkStart w:id="169" w:name="_Toc32084"/>
      <w:bookmarkStart w:id="170" w:name="_Toc29609"/>
      <w:bookmarkStart w:id="171" w:name="_Toc10714"/>
      <w:bookmarkStart w:id="172" w:name="_Toc6739"/>
      <w:bookmarkStart w:id="173" w:name="_Toc10892"/>
      <w:bookmarkStart w:id="174" w:name="_Toc2388"/>
      <w:bookmarkStart w:id="175" w:name="_Toc21841_WPSOffice_Level2"/>
      <w:bookmarkStart w:id="176" w:name="_Toc17416"/>
      <w:bookmarkStart w:id="177" w:name="_Toc22922"/>
      <w:bookmarkStart w:id="178" w:name="_Toc27253"/>
      <w:bookmarkStart w:id="179" w:name="_Toc21079"/>
      <w:bookmarkStart w:id="180" w:name="_Toc7737"/>
      <w:bookmarkStart w:id="181" w:name="_Toc26287"/>
      <w:bookmarkStart w:id="182" w:name="_Toc1474"/>
      <w:bookmarkStart w:id="183" w:name="_Toc9412"/>
      <w:bookmarkStart w:id="184" w:name="_Toc19271"/>
      <w:bookmarkStart w:id="185" w:name="_Toc31812"/>
      <w:bookmarkStart w:id="186" w:name="_Toc6229"/>
      <w:bookmarkStart w:id="187" w:name="_Toc23556"/>
      <w:bookmarkStart w:id="188" w:name="_Toc8679"/>
      <w:bookmarkStart w:id="189" w:name="_Toc17098"/>
      <w:bookmarkStart w:id="190" w:name="_Toc14252"/>
      <w:bookmarkStart w:id="191" w:name="_Toc21688"/>
      <w:bookmarkStart w:id="192" w:name="_Toc32545"/>
      <w:bookmarkStart w:id="193" w:name="_Toc2748"/>
      <w:bookmarkStart w:id="194" w:name="_Toc12689"/>
      <w:bookmarkStart w:id="195" w:name="_Toc22734"/>
      <w:bookmarkStart w:id="196" w:name="_Toc515"/>
      <w:bookmarkStart w:id="197" w:name="_Toc309"/>
      <w:bookmarkStart w:id="198" w:name="_Toc1665"/>
      <w:bookmarkStart w:id="199" w:name="_Toc18625"/>
      <w:bookmarkStart w:id="200" w:name="_Toc14620"/>
      <w:bookmarkStart w:id="201" w:name="_Toc18886"/>
      <w:bookmarkStart w:id="202" w:name="_Toc12547"/>
      <w:r>
        <w:rPr>
          <w:rFonts w:hint="eastAsia"/>
          <w:bCs w:val="0"/>
        </w:rPr>
        <w:t>1.4  工作原则</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pPr>
        <w:snapToGrid w:val="0"/>
        <w:ind w:firstLine="643"/>
        <w:rPr>
          <w:rFonts w:ascii="仿宋_GB2312" w:hAnsi="宋体"/>
          <w:color w:val="000000" w:themeColor="text1"/>
          <w:spacing w:val="-6"/>
          <w:szCs w:val="32"/>
          <w14:textFill>
            <w14:solidFill>
              <w14:schemeClr w14:val="tx1"/>
            </w14:solidFill>
          </w14:textFill>
        </w:rPr>
      </w:pPr>
      <w:r>
        <w:rPr>
          <w:rFonts w:hint="eastAsia"/>
          <w:b/>
        </w:rPr>
        <w:t>（1）</w:t>
      </w:r>
      <w:r>
        <w:rPr>
          <w:rFonts w:hint="eastAsia" w:ascii="仿宋_GB2312" w:hAnsi="宋体"/>
          <w:b/>
          <w:bCs/>
          <w:color w:val="000000" w:themeColor="text1"/>
          <w:spacing w:val="-6"/>
          <w:szCs w:val="32"/>
          <w14:textFill>
            <w14:solidFill>
              <w14:schemeClr w14:val="tx1"/>
            </w14:solidFill>
          </w14:textFill>
        </w:rPr>
        <w:t>坚持以人民为中心。</w:t>
      </w:r>
      <w:r>
        <w:rPr>
          <w:rFonts w:hint="eastAsia" w:ascii="仿宋_GB2312" w:hAnsi="宋体"/>
          <w:color w:val="000000" w:themeColor="text1"/>
          <w:spacing w:val="-6"/>
          <w:szCs w:val="32"/>
          <w14:textFill>
            <w14:solidFill>
              <w14:schemeClr w14:val="tx1"/>
            </w14:solidFill>
          </w14:textFill>
        </w:rPr>
        <w:t>始终把保护人民群众生命财产安全作为应对处置金融突发事件首要任务。</w:t>
      </w:r>
    </w:p>
    <w:p>
      <w:pPr>
        <w:snapToGrid w:val="0"/>
        <w:ind w:firstLine="643"/>
        <w:rPr>
          <w:rFonts w:ascii="仿宋_GB2312" w:hAnsi="宋体"/>
          <w:color w:val="000000" w:themeColor="text1"/>
          <w:spacing w:val="-6"/>
          <w:szCs w:val="32"/>
          <w14:textFill>
            <w14:solidFill>
              <w14:schemeClr w14:val="tx1"/>
            </w14:solidFill>
          </w14:textFill>
        </w:rPr>
      </w:pPr>
      <w:r>
        <w:rPr>
          <w:rFonts w:cs="Times New Roman"/>
          <w:b/>
          <w:color w:val="000000" w:themeColor="text1"/>
          <w14:textFill>
            <w14:solidFill>
              <w14:schemeClr w14:val="tx1"/>
            </w14:solidFill>
          </w14:textFill>
        </w:rPr>
        <w:t>（2</w:t>
      </w:r>
      <w:r>
        <w:rPr>
          <w:rFonts w:hint="eastAsia" w:cs="Times New Roman"/>
          <w:b/>
          <w:color w:val="000000" w:themeColor="text1"/>
          <w14:textFill>
            <w14:solidFill>
              <w14:schemeClr w14:val="tx1"/>
            </w14:solidFill>
          </w14:textFill>
        </w:rPr>
        <w:t>）</w:t>
      </w:r>
      <w:r>
        <w:rPr>
          <w:rFonts w:hint="eastAsia"/>
          <w:b/>
          <w:color w:val="000000" w:themeColor="text1"/>
          <w14:textFill>
            <w14:solidFill>
              <w14:schemeClr w14:val="tx1"/>
            </w14:solidFill>
          </w14:textFill>
        </w:rPr>
        <w:t>坚持预防为主</w:t>
      </w:r>
      <w:r>
        <w:rPr>
          <w:rFonts w:hint="eastAsia" w:ascii="仿宋_GB2312" w:hAnsi="宋体"/>
          <w:color w:val="000000" w:themeColor="text1"/>
          <w:spacing w:val="-6"/>
          <w:szCs w:val="32"/>
          <w14:textFill>
            <w14:solidFill>
              <w14:schemeClr w14:val="tx1"/>
            </w14:solidFill>
          </w14:textFill>
        </w:rPr>
        <w:t>。运用科技手段，加强风险监测预警，对风险苗头早发现、早报告、早控制、早解决，将损失减少到最低。</w:t>
      </w:r>
    </w:p>
    <w:p>
      <w:pPr>
        <w:snapToGrid w:val="0"/>
        <w:ind w:firstLine="643"/>
        <w:rPr>
          <w:b/>
          <w:color w:val="000000" w:themeColor="text1"/>
          <w14:textFill>
            <w14:solidFill>
              <w14:schemeClr w14:val="tx1"/>
            </w14:solidFill>
          </w14:textFill>
        </w:rPr>
      </w:pPr>
      <w:r>
        <w:rPr>
          <w:rFonts w:cs="Times New Roman"/>
          <w:b/>
          <w:color w:val="000000" w:themeColor="text1"/>
          <w14:textFill>
            <w14:solidFill>
              <w14:schemeClr w14:val="tx1"/>
            </w14:solidFill>
          </w14:textFill>
        </w:rPr>
        <w:t>（3）</w:t>
      </w:r>
      <w:r>
        <w:rPr>
          <w:rFonts w:hint="eastAsia"/>
          <w:b/>
          <w:color w:val="000000" w:themeColor="text1"/>
          <w14:textFill>
            <w14:solidFill>
              <w14:schemeClr w14:val="tx1"/>
            </w14:solidFill>
          </w14:textFill>
        </w:rPr>
        <w:t>坚持资源整合。</w:t>
      </w:r>
      <w:r>
        <w:rPr>
          <w:rFonts w:hint="eastAsia" w:ascii="仿宋_GB2312" w:hAnsi="宋体"/>
          <w:color w:val="000000" w:themeColor="text1"/>
          <w:spacing w:val="-6"/>
          <w:szCs w:val="32"/>
          <w14:textFill>
            <w14:solidFill>
              <w14:schemeClr w14:val="tx1"/>
            </w14:solidFill>
          </w14:textFill>
        </w:rPr>
        <w:t>按照资源整合和降低成本的要求，实现资源、组织和信息的整合</w:t>
      </w:r>
      <w:r>
        <w:rPr>
          <w:rFonts w:hint="eastAsia"/>
          <w:bCs/>
          <w:color w:val="000000" w:themeColor="text1"/>
          <w14:textFill>
            <w14:solidFill>
              <w14:schemeClr w14:val="tx1"/>
            </w14:solidFill>
          </w14:textFill>
        </w:rPr>
        <w:t>，充分利用现有资源，进一步理顺体制机制，加强区域协同联动，稳妥化解处置金融风险，努力实现部门之间、条块之间协同配合，维护金融安全和社会稳定。</w:t>
      </w:r>
    </w:p>
    <w:p>
      <w:pPr>
        <w:snapToGrid w:val="0"/>
        <w:ind w:firstLine="643"/>
        <w:rPr>
          <w:b/>
          <w:color w:val="000000" w:themeColor="text1"/>
          <w14:textFill>
            <w14:solidFill>
              <w14:schemeClr w14:val="tx1"/>
            </w14:solidFill>
          </w14:textFill>
        </w:rPr>
      </w:pPr>
      <w:r>
        <w:rPr>
          <w:rFonts w:hint="eastAsia"/>
          <w:b/>
          <w:color w:val="000000" w:themeColor="text1"/>
          <w14:textFill>
            <w14:solidFill>
              <w14:schemeClr w14:val="tx1"/>
            </w14:solidFill>
          </w14:textFill>
        </w:rPr>
        <w:t>（4）坚持央地协同。</w:t>
      </w:r>
      <w:r>
        <w:rPr>
          <w:rFonts w:hint="eastAsia" w:ascii="仿宋_GB2312" w:hAnsi="宋体"/>
          <w:color w:val="000000" w:themeColor="text1"/>
          <w:spacing w:val="-6"/>
          <w:szCs w:val="32"/>
          <w14:textFill>
            <w14:solidFill>
              <w14:schemeClr w14:val="tx1"/>
            </w14:solidFill>
          </w14:textFill>
        </w:rPr>
        <w:t>在市委、市政府的统一领导下，建立市、区两级金融突发事件应急指挥机构。</w:t>
      </w:r>
      <w:r>
        <w:rPr>
          <w:rFonts w:hint="eastAsia"/>
          <w:bCs/>
          <w:color w:val="000000" w:themeColor="text1"/>
          <w14:textFill>
            <w14:solidFill>
              <w14:schemeClr w14:val="tx1"/>
            </w14:solidFill>
          </w14:textFill>
        </w:rPr>
        <w:t>加强与中央金融监管部门驻穗派出机构的协同合作，构建分级负责、分类处置、综合协调、协同高效的应对体系。</w:t>
      </w:r>
    </w:p>
    <w:p>
      <w:pPr>
        <w:snapToGrid w:val="0"/>
        <w:ind w:firstLine="643"/>
        <w:rPr>
          <w:bCs/>
          <w:color w:val="000000" w:themeColor="text1"/>
          <w14:textFill>
            <w14:solidFill>
              <w14:schemeClr w14:val="tx1"/>
            </w14:solidFill>
          </w14:textFill>
        </w:rPr>
      </w:pPr>
      <w:r>
        <w:rPr>
          <w:rFonts w:hint="eastAsia"/>
          <w:b/>
          <w:color w:val="000000" w:themeColor="text1"/>
          <w14:textFill>
            <w14:solidFill>
              <w14:schemeClr w14:val="tx1"/>
            </w14:solidFill>
          </w14:textFill>
        </w:rPr>
        <w:t>（5）坚持依法应对。</w:t>
      </w:r>
      <w:r>
        <w:rPr>
          <w:rFonts w:hint="eastAsia"/>
          <w:bCs/>
          <w:color w:val="000000" w:themeColor="text1"/>
          <w14:textFill>
            <w14:solidFill>
              <w14:schemeClr w14:val="tx1"/>
            </w14:solidFill>
          </w14:textFill>
        </w:rPr>
        <w:t>运用法治思维和方式，结合金融相关指标等，有序处置事件和化解风险。相关统计数据、风险信息等应按规定做好保密工作。</w:t>
      </w:r>
    </w:p>
    <w:p>
      <w:pPr>
        <w:pStyle w:val="3"/>
        <w:snapToGrid w:val="0"/>
        <w:spacing w:line="560" w:lineRule="exact"/>
        <w:ind w:firstLine="643"/>
        <w:rPr>
          <w:b w:val="0"/>
        </w:rPr>
      </w:pPr>
      <w:bookmarkStart w:id="203" w:name="_Toc1287"/>
      <w:bookmarkStart w:id="204" w:name="_Toc10227"/>
      <w:bookmarkStart w:id="205" w:name="_Toc4492"/>
      <w:bookmarkStart w:id="206" w:name="_Toc29673"/>
      <w:bookmarkStart w:id="207" w:name="_Toc11639"/>
      <w:bookmarkStart w:id="208" w:name="_Toc16654"/>
      <w:bookmarkStart w:id="209" w:name="_Toc32507"/>
      <w:bookmarkStart w:id="210" w:name="_Toc18771"/>
      <w:bookmarkStart w:id="211" w:name="_Toc16765"/>
      <w:bookmarkStart w:id="212" w:name="_Toc13620"/>
      <w:bookmarkStart w:id="213" w:name="_Toc31669"/>
      <w:bookmarkStart w:id="214" w:name="_Toc26275"/>
      <w:bookmarkStart w:id="215" w:name="_Toc18193"/>
      <w:bookmarkStart w:id="216" w:name="_Toc15982"/>
      <w:bookmarkStart w:id="217" w:name="_Toc23932"/>
      <w:bookmarkStart w:id="218" w:name="_Toc24304"/>
      <w:bookmarkStart w:id="219" w:name="_Toc9026"/>
      <w:bookmarkStart w:id="220" w:name="_Toc5214"/>
      <w:bookmarkStart w:id="221" w:name="_Toc26990"/>
      <w:bookmarkStart w:id="222" w:name="_Toc28566"/>
      <w:bookmarkStart w:id="223" w:name="_Toc6691"/>
      <w:bookmarkStart w:id="224" w:name="_Toc13811_WPSOffice_Level2"/>
      <w:bookmarkStart w:id="225" w:name="_Toc11706"/>
      <w:bookmarkStart w:id="226" w:name="_Toc13998"/>
      <w:bookmarkStart w:id="227" w:name="_Toc26450"/>
      <w:bookmarkStart w:id="228" w:name="_Toc25026"/>
      <w:bookmarkStart w:id="229" w:name="_Toc7461"/>
      <w:bookmarkStart w:id="230" w:name="_Toc25823"/>
      <w:bookmarkStart w:id="231" w:name="_Toc10829"/>
      <w:bookmarkStart w:id="232" w:name="_Toc18936"/>
      <w:bookmarkStart w:id="233" w:name="_Toc22868"/>
      <w:bookmarkStart w:id="234" w:name="_Toc4379"/>
      <w:bookmarkStart w:id="235" w:name="_Toc15104"/>
      <w:bookmarkStart w:id="236" w:name="_Toc1766"/>
      <w:bookmarkStart w:id="237" w:name="_Toc22288"/>
      <w:bookmarkStart w:id="238" w:name="_Toc12453"/>
      <w:bookmarkStart w:id="239" w:name="_Toc23156"/>
      <w:bookmarkStart w:id="240" w:name="_Toc12954"/>
      <w:bookmarkStart w:id="241" w:name="_Toc23516"/>
      <w:r>
        <w:rPr>
          <w:rFonts w:hint="eastAsia"/>
          <w:bCs w:val="0"/>
        </w:rPr>
        <w:t>1.5　预案体系</w:t>
      </w:r>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p>
    <w:p>
      <w:pPr>
        <w:snapToGrid w:val="0"/>
        <w:ind w:firstLine="640"/>
        <w:rPr>
          <w:bCs/>
        </w:rPr>
      </w:pPr>
      <w:r>
        <w:rPr>
          <w:rFonts w:hint="eastAsia"/>
          <w:bCs/>
        </w:rPr>
        <w:t>本市金融突发事件应急预案体系分市、区两级管理。市级预案包括本预案及配套制定的相关市级部门应急预案。各区按规定制定本行政区域内金融突发事件应急预案。</w:t>
      </w:r>
    </w:p>
    <w:p>
      <w:pPr>
        <w:pStyle w:val="2"/>
        <w:ind w:firstLine="640"/>
        <w:rPr>
          <w:rFonts w:hint="default"/>
          <w:b w:val="0"/>
          <w:bCs/>
        </w:rPr>
      </w:pPr>
      <w:bookmarkStart w:id="242" w:name="_Toc31598"/>
      <w:bookmarkStart w:id="243" w:name="_Toc27213"/>
      <w:bookmarkStart w:id="244" w:name="_Toc6341"/>
      <w:bookmarkStart w:id="245" w:name="_Toc804"/>
      <w:bookmarkStart w:id="246" w:name="_Toc20332"/>
      <w:bookmarkStart w:id="247" w:name="_Toc30185"/>
      <w:bookmarkStart w:id="248" w:name="_Toc10581"/>
      <w:bookmarkStart w:id="249" w:name="_Toc18955"/>
      <w:bookmarkStart w:id="250" w:name="_Toc26528"/>
      <w:bookmarkStart w:id="251" w:name="_Toc17959"/>
      <w:bookmarkStart w:id="252" w:name="_Toc5593"/>
      <w:bookmarkStart w:id="253" w:name="_Toc20210"/>
      <w:bookmarkStart w:id="254" w:name="_Toc11994"/>
      <w:bookmarkStart w:id="255" w:name="_Toc3789"/>
      <w:bookmarkStart w:id="256" w:name="_Toc19133"/>
      <w:bookmarkStart w:id="257" w:name="_Toc29202"/>
      <w:bookmarkStart w:id="258" w:name="_Toc27252"/>
      <w:bookmarkStart w:id="259" w:name="_Toc13097"/>
      <w:bookmarkStart w:id="260" w:name="_Toc11444"/>
      <w:bookmarkStart w:id="261" w:name="_Toc14297"/>
      <w:bookmarkStart w:id="262" w:name="_Toc17868_WPSOffice_Level1"/>
      <w:bookmarkStart w:id="263" w:name="_Toc19837"/>
      <w:bookmarkStart w:id="264" w:name="_Toc16250"/>
      <w:bookmarkStart w:id="265" w:name="_Toc1399"/>
      <w:bookmarkStart w:id="266" w:name="_Toc12918"/>
      <w:bookmarkStart w:id="267" w:name="_Toc24645"/>
      <w:bookmarkStart w:id="268" w:name="_Toc12682"/>
      <w:bookmarkStart w:id="269" w:name="_Toc21114"/>
      <w:bookmarkStart w:id="270" w:name="_Toc560"/>
      <w:bookmarkStart w:id="271" w:name="_Toc1884"/>
      <w:bookmarkStart w:id="272" w:name="_Toc4910"/>
      <w:bookmarkStart w:id="273" w:name="_Toc9657"/>
      <w:bookmarkStart w:id="274" w:name="_Toc32567"/>
      <w:bookmarkStart w:id="275" w:name="_Toc6323"/>
      <w:bookmarkStart w:id="276" w:name="_Toc3016"/>
      <w:bookmarkStart w:id="277" w:name="_Toc9037"/>
      <w:bookmarkStart w:id="278" w:name="_Toc30511"/>
      <w:bookmarkStart w:id="279" w:name="_Toc22977"/>
      <w:bookmarkStart w:id="280" w:name="_Toc15122"/>
      <w:r>
        <w:rPr>
          <w:b w:val="0"/>
          <w:bCs/>
        </w:rPr>
        <w:t>2　组织体系与职责分工</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p>
    <w:p>
      <w:pPr>
        <w:pStyle w:val="3"/>
        <w:snapToGrid w:val="0"/>
        <w:spacing w:line="560" w:lineRule="exact"/>
        <w:ind w:firstLine="643"/>
        <w:rPr>
          <w:bCs w:val="0"/>
        </w:rPr>
      </w:pPr>
      <w:bookmarkStart w:id="281" w:name="_Toc1097"/>
      <w:bookmarkStart w:id="282" w:name="_Toc13960"/>
      <w:bookmarkStart w:id="283" w:name="_Toc14756"/>
      <w:bookmarkStart w:id="284" w:name="_Toc18181"/>
      <w:bookmarkStart w:id="285" w:name="_Toc20036"/>
      <w:bookmarkStart w:id="286" w:name="_Toc31856"/>
      <w:bookmarkStart w:id="287" w:name="_Toc32374"/>
      <w:bookmarkStart w:id="288" w:name="_Toc12184"/>
      <w:bookmarkStart w:id="289" w:name="_Toc24971"/>
      <w:bookmarkStart w:id="290" w:name="_Toc32717"/>
      <w:bookmarkStart w:id="291" w:name="_Toc10049_WPSOffice_Level2"/>
      <w:bookmarkStart w:id="292" w:name="_Toc13713"/>
      <w:bookmarkStart w:id="293" w:name="_Toc9126"/>
      <w:bookmarkStart w:id="294" w:name="_Toc28282"/>
      <w:bookmarkStart w:id="295" w:name="_Toc13236"/>
      <w:bookmarkStart w:id="296" w:name="_Toc23923"/>
      <w:bookmarkStart w:id="297" w:name="_Toc4922"/>
      <w:bookmarkStart w:id="298" w:name="_Toc7156"/>
      <w:bookmarkStart w:id="299" w:name="_Toc7274"/>
      <w:bookmarkStart w:id="300" w:name="_Toc25336"/>
      <w:bookmarkStart w:id="301" w:name="_Toc16134"/>
      <w:bookmarkStart w:id="302" w:name="_Toc25465"/>
      <w:bookmarkStart w:id="303" w:name="_Toc27169"/>
      <w:bookmarkStart w:id="304" w:name="_Toc2079"/>
      <w:bookmarkStart w:id="305" w:name="_Toc22881"/>
      <w:bookmarkStart w:id="306" w:name="_Toc20324"/>
      <w:bookmarkStart w:id="307" w:name="_Toc1998"/>
      <w:bookmarkStart w:id="308" w:name="_Toc26438"/>
      <w:bookmarkStart w:id="309" w:name="_Toc25746"/>
      <w:bookmarkStart w:id="310" w:name="_Toc19417"/>
      <w:bookmarkStart w:id="311" w:name="_Toc29988"/>
      <w:bookmarkStart w:id="312" w:name="_Toc5016"/>
      <w:bookmarkStart w:id="313" w:name="_Toc6594"/>
      <w:bookmarkStart w:id="314" w:name="_Toc1203"/>
      <w:bookmarkStart w:id="315" w:name="_Toc16508"/>
      <w:bookmarkStart w:id="316" w:name="_Toc15022"/>
      <w:bookmarkStart w:id="317" w:name="_Toc25126"/>
      <w:bookmarkStart w:id="318" w:name="_Toc8437"/>
      <w:bookmarkStart w:id="319" w:name="_Toc10804"/>
      <w:r>
        <w:rPr>
          <w:rFonts w:hint="eastAsia"/>
          <w:bCs w:val="0"/>
        </w:rPr>
        <w:t>2.1　组织体系</w: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p>
    <w:p>
      <w:pPr>
        <w:pStyle w:val="5"/>
        <w:snapToGrid w:val="0"/>
        <w:ind w:firstLine="643"/>
        <w:rPr>
          <w:rFonts w:hint="default" w:ascii="仿宋_GB2312" w:hAnsi="仿宋_GB2312" w:cs="仿宋_GB2312"/>
          <w:b w:val="0"/>
          <w:bCs/>
          <w:szCs w:val="32"/>
        </w:rPr>
      </w:pPr>
      <w:bookmarkStart w:id="320" w:name="_Toc5120"/>
      <w:bookmarkStart w:id="321" w:name="_Toc6945"/>
      <w:bookmarkStart w:id="322" w:name="_Toc2306"/>
      <w:bookmarkStart w:id="323" w:name="_Toc21483"/>
      <w:bookmarkStart w:id="324" w:name="_Toc28241"/>
      <w:bookmarkStart w:id="325" w:name="_Toc4034"/>
      <w:bookmarkStart w:id="326" w:name="_Toc18358"/>
      <w:bookmarkStart w:id="327" w:name="_Toc22027"/>
      <w:bookmarkStart w:id="328" w:name="_Toc24827"/>
      <w:bookmarkStart w:id="329" w:name="_Toc30927"/>
      <w:bookmarkStart w:id="330" w:name="_Toc9313"/>
      <w:bookmarkStart w:id="331" w:name="_Toc31738"/>
      <w:bookmarkStart w:id="332" w:name="_Toc17792"/>
      <w:bookmarkStart w:id="333" w:name="_Toc30411"/>
      <w:bookmarkStart w:id="334" w:name="_Toc24889"/>
      <w:bookmarkStart w:id="335" w:name="_Toc25586"/>
      <w:bookmarkStart w:id="336" w:name="_Toc2752"/>
      <w:bookmarkStart w:id="337" w:name="_Toc14957"/>
      <w:bookmarkStart w:id="338" w:name="_Toc29407"/>
      <w:bookmarkStart w:id="339" w:name="_Toc7889"/>
      <w:bookmarkStart w:id="340" w:name="_Toc12214"/>
      <w:bookmarkStart w:id="341" w:name="_Toc6979"/>
      <w:bookmarkStart w:id="342" w:name="_Toc27081"/>
      <w:bookmarkStart w:id="343" w:name="_Toc30262"/>
      <w:bookmarkStart w:id="344" w:name="_Toc30805"/>
      <w:bookmarkStart w:id="345" w:name="_Toc10380"/>
      <w:bookmarkStart w:id="346" w:name="_Toc18740"/>
      <w:bookmarkStart w:id="347" w:name="_Toc11329"/>
      <w:bookmarkStart w:id="348" w:name="_Toc24308"/>
      <w:bookmarkStart w:id="349" w:name="_Toc7790"/>
      <w:bookmarkStart w:id="350" w:name="_Toc15733"/>
      <w:bookmarkStart w:id="351" w:name="_Toc30340"/>
      <w:bookmarkStart w:id="352" w:name="_Toc9380"/>
      <w:bookmarkStart w:id="353" w:name="_Toc12145"/>
      <w:bookmarkStart w:id="354" w:name="_Toc17167"/>
      <w:bookmarkStart w:id="355" w:name="_Toc1550"/>
      <w:r>
        <w:rPr>
          <w:rFonts w:ascii="仿宋_GB2312" w:hAnsi="仿宋_GB2312" w:cs="仿宋_GB2312"/>
          <w:szCs w:val="32"/>
        </w:rPr>
        <w:t>2.1.1  应急指挥部</w:t>
      </w:r>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p>
    <w:p>
      <w:pPr>
        <w:snapToGrid w:val="0"/>
        <w:ind w:firstLine="640"/>
        <w:rPr>
          <w:bCs/>
        </w:rPr>
      </w:pPr>
      <w:r>
        <w:rPr>
          <w:rFonts w:hint="eastAsia"/>
          <w:bCs/>
        </w:rPr>
        <w:t>市</w:t>
      </w:r>
      <w:r>
        <w:rPr>
          <w:rFonts w:hint="eastAsia" w:ascii="仿宋_GB2312" w:hAnsi="宋体"/>
          <w:spacing w:val="-6"/>
          <w:sz w:val="31"/>
        </w:rPr>
        <w:t>人民</w:t>
      </w:r>
      <w:r>
        <w:rPr>
          <w:rFonts w:hint="eastAsia"/>
          <w:bCs/>
        </w:rPr>
        <w:t>政府建立广州市金融突发事件应急指挥部（以下简称应急指挥部），负责统一领导、指挥全市金融突发事件的应急处置工作。</w:t>
      </w:r>
    </w:p>
    <w:p>
      <w:pPr>
        <w:snapToGrid w:val="0"/>
        <w:ind w:firstLine="643"/>
        <w:rPr>
          <w:bCs/>
        </w:rPr>
      </w:pPr>
      <w:r>
        <w:rPr>
          <w:rFonts w:hint="eastAsia"/>
          <w:b/>
        </w:rPr>
        <w:t>总指挥：</w:t>
      </w:r>
      <w:r>
        <w:rPr>
          <w:rFonts w:hint="eastAsia"/>
          <w:bCs/>
        </w:rPr>
        <w:t>分管金融工作的市政府领导</w:t>
      </w:r>
    </w:p>
    <w:p>
      <w:pPr>
        <w:snapToGrid w:val="0"/>
        <w:ind w:firstLine="643"/>
        <w:rPr>
          <w:bCs/>
        </w:rPr>
      </w:pPr>
      <w:r>
        <w:rPr>
          <w:rFonts w:hint="eastAsia"/>
          <w:b/>
        </w:rPr>
        <w:t>副总指挥：</w:t>
      </w:r>
      <w:r>
        <w:rPr>
          <w:rFonts w:hint="eastAsia"/>
          <w:bCs/>
        </w:rPr>
        <w:t>联系金融的市政府副秘书长，市地方金融监管局、人民银行广州分行、广东银保监局、广东证监局有关负责人。</w:t>
      </w:r>
    </w:p>
    <w:p>
      <w:pPr>
        <w:pStyle w:val="5"/>
        <w:snapToGrid w:val="0"/>
        <w:ind w:firstLine="643"/>
        <w:rPr>
          <w:rFonts w:hint="default" w:ascii="仿宋_GB2312" w:hAnsi="仿宋_GB2312" w:cs="仿宋_GB2312"/>
          <w:szCs w:val="32"/>
        </w:rPr>
      </w:pPr>
      <w:bookmarkStart w:id="356" w:name="_Toc31440"/>
      <w:bookmarkStart w:id="357" w:name="_Toc10273"/>
      <w:bookmarkStart w:id="358" w:name="_Toc31513"/>
      <w:bookmarkStart w:id="359" w:name="_Toc7779"/>
      <w:bookmarkStart w:id="360" w:name="_Toc10762"/>
      <w:bookmarkStart w:id="361" w:name="_Toc26017"/>
      <w:bookmarkStart w:id="362" w:name="_Toc17161"/>
      <w:bookmarkStart w:id="363" w:name="_Toc21450"/>
      <w:bookmarkStart w:id="364" w:name="_Toc10215"/>
      <w:bookmarkStart w:id="365" w:name="_Toc15148"/>
      <w:bookmarkStart w:id="366" w:name="_Toc1369"/>
      <w:bookmarkStart w:id="367" w:name="_Toc9691"/>
      <w:bookmarkStart w:id="368" w:name="_Toc11256"/>
      <w:bookmarkStart w:id="369" w:name="_Toc14270"/>
      <w:bookmarkStart w:id="370" w:name="_Toc31640"/>
      <w:bookmarkStart w:id="371" w:name="_Toc8244"/>
      <w:bookmarkStart w:id="372" w:name="_Toc17223"/>
      <w:bookmarkStart w:id="373" w:name="_Toc11007"/>
      <w:bookmarkStart w:id="374" w:name="_Toc29216"/>
      <w:bookmarkStart w:id="375" w:name="_Toc18733"/>
      <w:bookmarkStart w:id="376" w:name="_Toc3186"/>
      <w:bookmarkStart w:id="377" w:name="_Toc5054"/>
      <w:bookmarkStart w:id="378" w:name="_Toc2985"/>
      <w:bookmarkStart w:id="379" w:name="_Toc28101"/>
      <w:bookmarkStart w:id="380" w:name="_Toc16352"/>
      <w:bookmarkStart w:id="381" w:name="_Toc22777"/>
      <w:bookmarkStart w:id="382" w:name="_Toc6194"/>
      <w:bookmarkStart w:id="383" w:name="_Toc20023"/>
      <w:bookmarkStart w:id="384" w:name="_Toc15864"/>
      <w:bookmarkStart w:id="385" w:name="_Toc25854"/>
      <w:bookmarkStart w:id="386" w:name="_Toc11323"/>
      <w:bookmarkStart w:id="387" w:name="_Toc20675"/>
      <w:bookmarkStart w:id="388" w:name="_Toc9660"/>
      <w:bookmarkStart w:id="389" w:name="_Toc28867"/>
      <w:bookmarkStart w:id="390" w:name="_Toc30856"/>
      <w:bookmarkStart w:id="391" w:name="_Toc19428"/>
      <w:r>
        <w:rPr>
          <w:rFonts w:ascii="仿宋_GB2312" w:hAnsi="仿宋_GB2312" w:cs="仿宋_GB2312"/>
          <w:szCs w:val="32"/>
        </w:rPr>
        <w:t>2.1.2　应急指挥部成员单位</w:t>
      </w:r>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p>
    <w:p>
      <w:pPr>
        <w:snapToGrid w:val="0"/>
        <w:ind w:firstLine="640"/>
        <w:rPr>
          <w:rFonts w:ascii="仿宋_GB2312" w:hAnsi="仿宋_GB2312" w:cs="仿宋_GB2312"/>
          <w:bCs/>
        </w:rPr>
      </w:pPr>
      <w:r>
        <w:rPr>
          <w:rFonts w:hint="eastAsia" w:ascii="仿宋_GB2312" w:hAnsi="仿宋_GB2312" w:cs="仿宋_GB2312"/>
          <w:bCs/>
        </w:rPr>
        <w:t>成员单位包括市地方金融监管局,人民银行广州分行,广东银保监局,广东证监局，市委宣传部、市委政法委、市委网信办，市发展改革委、工业和信息化局、公安局、司法局、财政局、商务局、国资委、市场监管局、人力资源和社会保障局、信访局，市法院、检察院，国家税务总局广州市税务局，事发地区人民政府等。各成员单位指定联络员负责联络事宜。</w:t>
      </w:r>
    </w:p>
    <w:p>
      <w:pPr>
        <w:snapToGrid w:val="0"/>
        <w:ind w:firstLine="640"/>
        <w:rPr>
          <w:rFonts w:ascii="仿宋_GB2312" w:hAnsi="仿宋_GB2312" w:cs="仿宋_GB2312"/>
          <w:bCs/>
        </w:rPr>
      </w:pPr>
      <w:r>
        <w:rPr>
          <w:rFonts w:hint="eastAsia" w:ascii="仿宋_GB2312" w:hAnsi="仿宋_GB2312" w:cs="仿宋_GB2312"/>
          <w:bCs/>
        </w:rPr>
        <w:t>成员单位组成，可视情况动态适当调整。</w:t>
      </w:r>
    </w:p>
    <w:p>
      <w:pPr>
        <w:pStyle w:val="5"/>
        <w:snapToGrid w:val="0"/>
        <w:ind w:firstLine="643"/>
        <w:rPr>
          <w:rFonts w:hint="default" w:ascii="仿宋_GB2312" w:hAnsi="仿宋_GB2312" w:cs="仿宋_GB2312"/>
          <w:szCs w:val="32"/>
        </w:rPr>
      </w:pPr>
      <w:bookmarkStart w:id="392" w:name="_Toc17986"/>
      <w:bookmarkStart w:id="393" w:name="_Toc29420"/>
      <w:bookmarkStart w:id="394" w:name="_Toc16196"/>
      <w:bookmarkStart w:id="395" w:name="_Toc32075"/>
      <w:bookmarkStart w:id="396" w:name="_Toc31389"/>
      <w:bookmarkStart w:id="397" w:name="_Toc31605"/>
      <w:bookmarkStart w:id="398" w:name="_Toc14838"/>
      <w:bookmarkStart w:id="399" w:name="_Toc32073"/>
      <w:bookmarkStart w:id="400" w:name="_Toc32085"/>
      <w:bookmarkStart w:id="401" w:name="_Toc27040"/>
      <w:bookmarkStart w:id="402" w:name="_Toc17173"/>
      <w:bookmarkStart w:id="403" w:name="_Toc3984"/>
      <w:bookmarkStart w:id="404" w:name="_Toc9977"/>
      <w:bookmarkStart w:id="405" w:name="_Toc17731"/>
      <w:bookmarkStart w:id="406" w:name="_Toc7820"/>
      <w:bookmarkStart w:id="407" w:name="_Toc21274"/>
      <w:bookmarkStart w:id="408" w:name="_Toc11942"/>
      <w:bookmarkStart w:id="409" w:name="_Toc142"/>
      <w:bookmarkStart w:id="410" w:name="_Toc10032"/>
      <w:bookmarkStart w:id="411" w:name="_Toc17526"/>
      <w:bookmarkStart w:id="412" w:name="_Toc1211"/>
      <w:bookmarkStart w:id="413" w:name="_Toc28831"/>
      <w:bookmarkStart w:id="414" w:name="_Toc20899"/>
      <w:bookmarkStart w:id="415" w:name="_Toc7258"/>
      <w:bookmarkStart w:id="416" w:name="_Toc28676"/>
      <w:bookmarkStart w:id="417" w:name="_Toc7791"/>
      <w:bookmarkStart w:id="418" w:name="_Toc25316"/>
      <w:bookmarkStart w:id="419" w:name="_Toc17267"/>
      <w:bookmarkStart w:id="420" w:name="_Toc29298"/>
      <w:bookmarkStart w:id="421" w:name="_Toc14091"/>
      <w:bookmarkStart w:id="422" w:name="_Toc5679"/>
      <w:bookmarkStart w:id="423" w:name="_Toc23220"/>
      <w:bookmarkStart w:id="424" w:name="_Toc30344"/>
      <w:bookmarkStart w:id="425" w:name="_Toc26047"/>
      <w:bookmarkStart w:id="426" w:name="_Toc22631"/>
      <w:bookmarkStart w:id="427" w:name="_Toc17446"/>
      <w:r>
        <w:rPr>
          <w:rFonts w:ascii="仿宋_GB2312" w:hAnsi="仿宋_GB2312" w:cs="仿宋_GB2312"/>
          <w:szCs w:val="32"/>
        </w:rPr>
        <w:t>2.1.3  应急指挥部办公室</w:t>
      </w:r>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p>
    <w:p>
      <w:pPr>
        <w:snapToGrid w:val="0"/>
        <w:ind w:firstLine="640"/>
        <w:rPr>
          <w:bCs/>
        </w:rPr>
      </w:pPr>
      <w:r>
        <w:rPr>
          <w:rFonts w:hint="eastAsia" w:ascii="仿宋_GB2312" w:hAnsi="仿宋_GB2312" w:cs="仿宋_GB2312"/>
          <w:bCs/>
          <w:szCs w:val="32"/>
        </w:rPr>
        <w:t>应急指挥部</w:t>
      </w:r>
      <w:r>
        <w:rPr>
          <w:rFonts w:hint="eastAsia"/>
          <w:bCs/>
        </w:rPr>
        <w:t>办公室设在市地方金融监管局，负责</w:t>
      </w:r>
      <w:r>
        <w:rPr>
          <w:rFonts w:hint="eastAsia" w:ascii="仿宋_GB2312" w:hAnsi="仿宋_GB2312" w:cs="仿宋_GB2312"/>
          <w:bCs/>
          <w:szCs w:val="32"/>
        </w:rPr>
        <w:t>应急指挥部</w:t>
      </w:r>
      <w:r>
        <w:rPr>
          <w:rFonts w:hint="eastAsia"/>
          <w:bCs/>
        </w:rPr>
        <w:t>的日常工作，在金融突发事件处置中，可视情况组建专班，从有关成员单位抽调人员集中办公。</w:t>
      </w:r>
    </w:p>
    <w:p>
      <w:pPr>
        <w:snapToGrid w:val="0"/>
        <w:ind w:firstLine="640"/>
        <w:rPr>
          <w:bCs/>
        </w:rPr>
      </w:pPr>
      <w:r>
        <w:rPr>
          <w:rFonts w:hint="eastAsia"/>
          <w:bCs/>
        </w:rPr>
        <w:t>市地方金融监管局局长担任办公室主任。</w:t>
      </w:r>
    </w:p>
    <w:p>
      <w:pPr>
        <w:pStyle w:val="5"/>
        <w:snapToGrid w:val="0"/>
        <w:ind w:firstLine="643"/>
        <w:rPr>
          <w:rFonts w:hint="default" w:ascii="仿宋_GB2312" w:hAnsi="仿宋_GB2312" w:cs="仿宋_GB2312"/>
          <w:szCs w:val="32"/>
        </w:rPr>
      </w:pPr>
      <w:bookmarkStart w:id="428" w:name="_Toc23591"/>
      <w:bookmarkStart w:id="429" w:name="_Toc12246"/>
      <w:bookmarkStart w:id="430" w:name="_Toc8160"/>
      <w:bookmarkStart w:id="431" w:name="_Toc15789"/>
      <w:bookmarkStart w:id="432" w:name="_Toc28826"/>
      <w:bookmarkStart w:id="433" w:name="_Toc6392"/>
      <w:bookmarkStart w:id="434" w:name="_Toc5229"/>
      <w:bookmarkStart w:id="435" w:name="_Toc7433"/>
      <w:bookmarkStart w:id="436" w:name="_Toc22492"/>
      <w:bookmarkStart w:id="437" w:name="_Toc3680"/>
      <w:bookmarkStart w:id="438" w:name="_Toc15065"/>
      <w:bookmarkStart w:id="439" w:name="_Toc31130"/>
      <w:bookmarkStart w:id="440" w:name="_Toc14771"/>
      <w:bookmarkStart w:id="441" w:name="_Toc27018"/>
      <w:bookmarkStart w:id="442" w:name="_Toc21242"/>
      <w:bookmarkStart w:id="443" w:name="_Toc4070"/>
      <w:bookmarkStart w:id="444" w:name="_Toc8520"/>
      <w:bookmarkStart w:id="445" w:name="_Toc27084"/>
      <w:bookmarkStart w:id="446" w:name="_Toc30638"/>
      <w:bookmarkStart w:id="447" w:name="_Toc31668"/>
      <w:bookmarkStart w:id="448" w:name="_Toc7091"/>
      <w:bookmarkStart w:id="449" w:name="_Toc143"/>
      <w:bookmarkStart w:id="450" w:name="_Toc15560"/>
      <w:bookmarkStart w:id="451" w:name="_Toc5080"/>
      <w:bookmarkStart w:id="452" w:name="_Toc23611"/>
      <w:bookmarkStart w:id="453" w:name="_Toc6136"/>
      <w:bookmarkStart w:id="454" w:name="_Toc4531"/>
      <w:bookmarkStart w:id="455" w:name="_Toc28941"/>
      <w:bookmarkStart w:id="456" w:name="_Toc17522"/>
      <w:bookmarkStart w:id="457" w:name="_Toc25415"/>
      <w:bookmarkStart w:id="458" w:name="_Toc7514"/>
      <w:bookmarkStart w:id="459" w:name="_Toc21190"/>
      <w:bookmarkStart w:id="460" w:name="_Toc18685"/>
      <w:bookmarkStart w:id="461" w:name="_Toc8575"/>
      <w:bookmarkStart w:id="462" w:name="_Toc28401"/>
      <w:bookmarkStart w:id="463" w:name="_Toc6667"/>
      <w:r>
        <w:rPr>
          <w:rFonts w:ascii="仿宋_GB2312" w:hAnsi="仿宋_GB2312" w:cs="仿宋_GB2312"/>
          <w:szCs w:val="32"/>
        </w:rPr>
        <w:t>2.1.4  各区政府应急机构</w:t>
      </w:r>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p>
    <w:p>
      <w:pPr>
        <w:snapToGrid w:val="0"/>
        <w:ind w:firstLine="640"/>
        <w:rPr>
          <w:bCs/>
        </w:rPr>
      </w:pPr>
      <w:r>
        <w:rPr>
          <w:rFonts w:hint="eastAsia"/>
          <w:bCs/>
        </w:rPr>
        <w:t>各区政府应当建立健全金融突发事件应急组织体系，制定完善本行政区域金融突发事件应急预案，维护辖区金融安全和社会稳定。</w:t>
      </w:r>
    </w:p>
    <w:p>
      <w:pPr>
        <w:pStyle w:val="3"/>
        <w:snapToGrid w:val="0"/>
        <w:spacing w:line="560" w:lineRule="exact"/>
        <w:ind w:firstLine="643"/>
        <w:rPr>
          <w:bCs w:val="0"/>
        </w:rPr>
      </w:pPr>
      <w:bookmarkStart w:id="464" w:name="_Toc17770"/>
      <w:bookmarkStart w:id="465" w:name="_Toc17655"/>
      <w:bookmarkStart w:id="466" w:name="_Toc7575"/>
      <w:bookmarkStart w:id="467" w:name="_Toc9231"/>
      <w:bookmarkStart w:id="468" w:name="_Toc13524"/>
      <w:bookmarkStart w:id="469" w:name="_Toc28573"/>
      <w:bookmarkStart w:id="470" w:name="_Toc2181"/>
      <w:bookmarkStart w:id="471" w:name="_Toc5638"/>
      <w:bookmarkStart w:id="472" w:name="_Toc28062"/>
      <w:bookmarkStart w:id="473" w:name="_Toc22797"/>
      <w:bookmarkStart w:id="474" w:name="_Toc4214"/>
      <w:bookmarkStart w:id="475" w:name="_Toc23227"/>
      <w:bookmarkStart w:id="476" w:name="_Toc7713"/>
      <w:bookmarkStart w:id="477" w:name="_Toc30778"/>
      <w:bookmarkStart w:id="478" w:name="_Toc13174"/>
      <w:bookmarkStart w:id="479" w:name="_Toc27738"/>
      <w:bookmarkStart w:id="480" w:name="_Toc21827"/>
      <w:bookmarkStart w:id="481" w:name="_Toc16142"/>
      <w:bookmarkStart w:id="482" w:name="_Toc11018"/>
      <w:bookmarkStart w:id="483" w:name="_Toc19358"/>
      <w:bookmarkStart w:id="484" w:name="_Toc21736_WPSOffice_Level2"/>
      <w:bookmarkStart w:id="485" w:name="_Toc5804"/>
      <w:bookmarkStart w:id="486" w:name="_Toc10927"/>
      <w:bookmarkStart w:id="487" w:name="_Toc10589"/>
      <w:bookmarkStart w:id="488" w:name="_Toc24990"/>
      <w:bookmarkStart w:id="489" w:name="_Toc31490"/>
      <w:bookmarkStart w:id="490" w:name="_Toc16051"/>
      <w:bookmarkStart w:id="491" w:name="_Toc3806"/>
      <w:bookmarkStart w:id="492" w:name="_Toc14586"/>
      <w:bookmarkStart w:id="493" w:name="_Toc17168"/>
      <w:bookmarkStart w:id="494" w:name="_Toc15307"/>
      <w:bookmarkStart w:id="495" w:name="_Toc5135"/>
      <w:bookmarkStart w:id="496" w:name="_Toc8634"/>
      <w:bookmarkStart w:id="497" w:name="_Toc11693"/>
      <w:bookmarkStart w:id="498" w:name="_Toc1435"/>
      <w:bookmarkStart w:id="499" w:name="_Toc14842"/>
      <w:bookmarkStart w:id="500" w:name="_Toc27376"/>
      <w:bookmarkStart w:id="501" w:name="_Toc4000"/>
      <w:bookmarkStart w:id="502" w:name="_Toc29931"/>
      <w:r>
        <w:rPr>
          <w:rFonts w:hint="eastAsia"/>
          <w:bCs w:val="0"/>
        </w:rPr>
        <w:t>2.2  职责分工</w:t>
      </w:r>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p>
    <w:p>
      <w:pPr>
        <w:pStyle w:val="5"/>
        <w:snapToGrid w:val="0"/>
        <w:ind w:firstLine="643"/>
        <w:rPr>
          <w:rFonts w:hint="default" w:ascii="仿宋_GB2312" w:hAnsi="仿宋_GB2312" w:cs="仿宋_GB2312"/>
          <w:szCs w:val="32"/>
        </w:rPr>
      </w:pPr>
      <w:bookmarkStart w:id="503" w:name="_Toc31594"/>
      <w:bookmarkStart w:id="504" w:name="_Toc16450"/>
      <w:bookmarkStart w:id="505" w:name="_Toc27733"/>
      <w:bookmarkStart w:id="506" w:name="_Toc3712"/>
      <w:bookmarkStart w:id="507" w:name="_Toc28921"/>
      <w:bookmarkStart w:id="508" w:name="_Toc21373"/>
      <w:bookmarkStart w:id="509" w:name="_Toc10148"/>
      <w:bookmarkStart w:id="510" w:name="_Toc26635"/>
      <w:bookmarkStart w:id="511" w:name="_Toc25702"/>
      <w:bookmarkStart w:id="512" w:name="_Toc2795"/>
      <w:bookmarkStart w:id="513" w:name="_Toc18813"/>
      <w:bookmarkStart w:id="514" w:name="_Toc13903"/>
      <w:bookmarkStart w:id="515" w:name="_Toc58"/>
      <w:bookmarkStart w:id="516" w:name="_Toc30267"/>
      <w:bookmarkStart w:id="517" w:name="_Toc15760"/>
      <w:bookmarkStart w:id="518" w:name="_Toc13481"/>
      <w:bookmarkStart w:id="519" w:name="_Toc4767"/>
      <w:bookmarkStart w:id="520" w:name="_Toc24624"/>
      <w:bookmarkStart w:id="521" w:name="_Toc30052"/>
      <w:bookmarkStart w:id="522" w:name="_Toc9873"/>
      <w:bookmarkStart w:id="523" w:name="_Toc7012"/>
      <w:bookmarkStart w:id="524" w:name="_Toc2710"/>
      <w:bookmarkStart w:id="525" w:name="_Toc7017"/>
      <w:bookmarkStart w:id="526" w:name="_Toc81"/>
      <w:bookmarkStart w:id="527" w:name="_Toc14958"/>
      <w:bookmarkStart w:id="528" w:name="_Toc19511"/>
      <w:bookmarkStart w:id="529" w:name="_Toc21944"/>
      <w:bookmarkStart w:id="530" w:name="_Toc24798"/>
      <w:bookmarkStart w:id="531" w:name="_Toc30838"/>
      <w:bookmarkStart w:id="532" w:name="_Toc25735"/>
      <w:bookmarkStart w:id="533" w:name="_Toc13083"/>
      <w:bookmarkStart w:id="534" w:name="_Toc17409"/>
      <w:bookmarkStart w:id="535" w:name="_Toc7136"/>
      <w:bookmarkStart w:id="536" w:name="_Toc10360"/>
      <w:bookmarkStart w:id="537" w:name="_Toc3574"/>
      <w:bookmarkStart w:id="538" w:name="_Toc25618"/>
      <w:r>
        <w:rPr>
          <w:rFonts w:ascii="仿宋_GB2312" w:hAnsi="仿宋_GB2312" w:cs="仿宋_GB2312"/>
          <w:szCs w:val="32"/>
        </w:rPr>
        <w:t>2.2.1  应急指挥部的职责</w:t>
      </w:r>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p>
    <w:p>
      <w:pPr>
        <w:snapToGrid w:val="0"/>
        <w:ind w:firstLine="640"/>
        <w:rPr>
          <w:bCs/>
        </w:rPr>
      </w:pPr>
      <w:r>
        <w:rPr>
          <w:rFonts w:hint="eastAsia"/>
          <w:bCs/>
        </w:rPr>
        <w:t>（1）根据金融管理（监管）部门及其他有关部门的建议，研究对重大金融突发事件风险防范、实施处置，依据本预案，决定启动和终止响应程序。</w:t>
      </w:r>
    </w:p>
    <w:p>
      <w:pPr>
        <w:snapToGrid w:val="0"/>
        <w:ind w:firstLine="640"/>
        <w:rPr>
          <w:bCs/>
        </w:rPr>
      </w:pPr>
      <w:r>
        <w:rPr>
          <w:rFonts w:cs="Times New Roman"/>
          <w:bCs/>
        </w:rPr>
        <w:t>（2）</w:t>
      </w:r>
      <w:r>
        <w:rPr>
          <w:rFonts w:hint="eastAsia"/>
          <w:bCs/>
        </w:rPr>
        <w:t>分析研究本市金融安全事件有关重要信息，制定应急措施。</w:t>
      </w:r>
    </w:p>
    <w:p>
      <w:pPr>
        <w:snapToGrid w:val="0"/>
        <w:ind w:firstLine="640"/>
        <w:rPr>
          <w:bCs/>
        </w:rPr>
      </w:pPr>
      <w:r>
        <w:rPr>
          <w:rFonts w:cs="Times New Roman"/>
          <w:bCs/>
        </w:rPr>
        <w:t>（3）</w:t>
      </w:r>
      <w:r>
        <w:rPr>
          <w:rFonts w:hint="eastAsia"/>
          <w:bCs/>
        </w:rPr>
        <w:t>确定成员单位在应急处置过程中的职责分工，组织协调有关部门和有关区政府，协助金融突发事件发生单位恢复正常经营秩序，维护社会治安，防止因金融突发事件引发社会不稳定事件。</w:t>
      </w:r>
    </w:p>
    <w:p>
      <w:pPr>
        <w:pStyle w:val="5"/>
        <w:snapToGrid w:val="0"/>
        <w:ind w:firstLine="643"/>
        <w:rPr>
          <w:rFonts w:hint="default" w:ascii="仿宋_GB2312" w:hAnsi="仿宋_GB2312" w:cs="仿宋_GB2312"/>
          <w:szCs w:val="32"/>
        </w:rPr>
      </w:pPr>
      <w:bookmarkStart w:id="539" w:name="_Toc5225"/>
      <w:bookmarkStart w:id="540" w:name="_Toc25719"/>
      <w:bookmarkStart w:id="541" w:name="_Toc26599"/>
      <w:bookmarkStart w:id="542" w:name="_Toc31676"/>
      <w:bookmarkStart w:id="543" w:name="_Toc17460"/>
      <w:bookmarkStart w:id="544" w:name="_Toc10875"/>
      <w:bookmarkStart w:id="545" w:name="_Toc28269"/>
      <w:bookmarkStart w:id="546" w:name="_Toc17431"/>
      <w:bookmarkStart w:id="547" w:name="_Toc7122"/>
      <w:bookmarkStart w:id="548" w:name="_Toc11939"/>
      <w:bookmarkStart w:id="549" w:name="_Toc4463"/>
      <w:bookmarkStart w:id="550" w:name="_Toc20779"/>
      <w:bookmarkStart w:id="551" w:name="_Toc919"/>
      <w:bookmarkStart w:id="552" w:name="_Toc8834"/>
      <w:bookmarkStart w:id="553" w:name="_Toc5092"/>
      <w:bookmarkStart w:id="554" w:name="_Toc9402"/>
      <w:bookmarkStart w:id="555" w:name="_Toc12593"/>
      <w:bookmarkStart w:id="556" w:name="_Toc32670"/>
      <w:bookmarkStart w:id="557" w:name="_Toc1107"/>
      <w:bookmarkStart w:id="558" w:name="_Toc31016"/>
      <w:bookmarkStart w:id="559" w:name="_Toc6094"/>
      <w:bookmarkStart w:id="560" w:name="_Toc15554"/>
      <w:bookmarkStart w:id="561" w:name="_Toc6724"/>
      <w:bookmarkStart w:id="562" w:name="_Toc12927"/>
      <w:bookmarkStart w:id="563" w:name="_Toc15747"/>
      <w:bookmarkStart w:id="564" w:name="_Toc687"/>
      <w:bookmarkStart w:id="565" w:name="_Toc31559"/>
      <w:bookmarkStart w:id="566" w:name="_Toc20"/>
      <w:bookmarkStart w:id="567" w:name="_Toc6513"/>
      <w:bookmarkStart w:id="568" w:name="_Toc13689"/>
      <w:bookmarkStart w:id="569" w:name="_Toc2067"/>
      <w:bookmarkStart w:id="570" w:name="_Toc2820"/>
      <w:bookmarkStart w:id="571" w:name="_Toc20349"/>
      <w:bookmarkStart w:id="572" w:name="_Toc10683"/>
      <w:bookmarkStart w:id="573" w:name="_Toc1855"/>
      <w:bookmarkStart w:id="574" w:name="_Toc31417"/>
      <w:r>
        <w:rPr>
          <w:rFonts w:ascii="仿宋_GB2312" w:hAnsi="仿宋_GB2312" w:cs="仿宋_GB2312"/>
          <w:szCs w:val="32"/>
        </w:rPr>
        <w:t>2.2.2  应急指挥部办公室的职责</w:t>
      </w:r>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p>
    <w:p>
      <w:pPr>
        <w:snapToGrid w:val="0"/>
        <w:ind w:firstLine="640"/>
        <w:rPr>
          <w:bCs/>
        </w:rPr>
      </w:pPr>
      <w:r>
        <w:rPr>
          <w:rFonts w:cs="Times New Roman"/>
          <w:bCs/>
        </w:rPr>
        <w:t>（1）</w:t>
      </w:r>
      <w:r>
        <w:rPr>
          <w:rFonts w:hint="eastAsia"/>
          <w:bCs/>
        </w:rPr>
        <w:t>组织落实应急指挥部的决定，组织研判会商，协调和调动各成员单位应对金融突发事件。</w:t>
      </w:r>
    </w:p>
    <w:p>
      <w:pPr>
        <w:snapToGrid w:val="0"/>
        <w:ind w:firstLine="640"/>
        <w:rPr>
          <w:bCs/>
        </w:rPr>
      </w:pPr>
      <w:r>
        <w:rPr>
          <w:rFonts w:cs="Times New Roman"/>
          <w:bCs/>
        </w:rPr>
        <w:t>（2）</w:t>
      </w:r>
      <w:r>
        <w:rPr>
          <w:rFonts w:hint="eastAsia"/>
          <w:bCs/>
        </w:rPr>
        <w:t>建立应急联动机制，健全跨部门信息共享机制。协调应对金融突发事件，保证信息畅通。</w:t>
      </w:r>
    </w:p>
    <w:p>
      <w:pPr>
        <w:snapToGrid w:val="0"/>
        <w:ind w:firstLine="640"/>
        <w:rPr>
          <w:bCs/>
        </w:rPr>
      </w:pPr>
      <w:r>
        <w:rPr>
          <w:rFonts w:hint="eastAsia" w:cs="Times New Roman"/>
          <w:bCs/>
        </w:rPr>
        <w:t>（3）</w:t>
      </w:r>
      <w:r>
        <w:rPr>
          <w:rFonts w:hint="eastAsia"/>
          <w:bCs/>
        </w:rPr>
        <w:t>负责组织本市金融突发事件风险评估、隐患排查等工作。</w:t>
      </w:r>
    </w:p>
    <w:p>
      <w:pPr>
        <w:snapToGrid w:val="0"/>
        <w:ind w:firstLine="640"/>
        <w:rPr>
          <w:bCs/>
        </w:rPr>
      </w:pPr>
      <w:r>
        <w:rPr>
          <w:rFonts w:hint="eastAsia" w:cs="Times New Roman"/>
          <w:bCs/>
        </w:rPr>
        <w:t>（4）</w:t>
      </w:r>
      <w:r>
        <w:rPr>
          <w:rFonts w:hint="eastAsia"/>
          <w:bCs/>
        </w:rPr>
        <w:t>配合有关部门做好本市金融突发事件新闻发布工作。</w:t>
      </w:r>
    </w:p>
    <w:p>
      <w:pPr>
        <w:snapToGrid w:val="0"/>
        <w:ind w:firstLine="640"/>
        <w:rPr>
          <w:bCs/>
        </w:rPr>
      </w:pPr>
      <w:r>
        <w:rPr>
          <w:rFonts w:hint="eastAsia" w:cs="Times New Roman"/>
          <w:bCs/>
        </w:rPr>
        <w:t>（5）</w:t>
      </w:r>
      <w:r>
        <w:rPr>
          <w:rFonts w:hint="eastAsia"/>
          <w:bCs/>
        </w:rPr>
        <w:t>指导各区制定、修订与金融突发事件相关的专项应急预案。</w:t>
      </w:r>
    </w:p>
    <w:p>
      <w:pPr>
        <w:snapToGrid w:val="0"/>
        <w:ind w:firstLine="640"/>
        <w:rPr>
          <w:bCs/>
        </w:rPr>
      </w:pPr>
      <w:r>
        <w:rPr>
          <w:rFonts w:hint="eastAsia" w:cs="Times New Roman"/>
          <w:bCs/>
        </w:rPr>
        <w:t>（6）</w:t>
      </w:r>
      <w:r>
        <w:rPr>
          <w:rFonts w:hint="eastAsia"/>
          <w:bCs/>
        </w:rPr>
        <w:t>负责组织本市金融突发事件应急演练、宣传教育和培训等。</w:t>
      </w:r>
    </w:p>
    <w:p>
      <w:pPr>
        <w:snapToGrid w:val="0"/>
        <w:ind w:firstLine="640"/>
        <w:rPr>
          <w:bCs/>
        </w:rPr>
      </w:pPr>
      <w:r>
        <w:rPr>
          <w:rFonts w:hint="eastAsia" w:cs="Times New Roman"/>
          <w:bCs/>
        </w:rPr>
        <w:t>（7）</w:t>
      </w:r>
      <w:r>
        <w:rPr>
          <w:rFonts w:hint="eastAsia"/>
          <w:bCs/>
        </w:rPr>
        <w:t>承办应急指挥部交办的其他事项。</w:t>
      </w:r>
    </w:p>
    <w:p>
      <w:pPr>
        <w:pStyle w:val="5"/>
        <w:snapToGrid w:val="0"/>
        <w:ind w:firstLine="643"/>
        <w:rPr>
          <w:rFonts w:hint="default" w:ascii="仿宋_GB2312" w:hAnsi="仿宋_GB2312" w:cs="仿宋_GB2312"/>
          <w:szCs w:val="32"/>
        </w:rPr>
      </w:pPr>
      <w:bookmarkStart w:id="575" w:name="_Toc13649"/>
      <w:bookmarkStart w:id="576" w:name="_Toc10827"/>
      <w:bookmarkStart w:id="577" w:name="_Toc5759"/>
      <w:bookmarkStart w:id="578" w:name="_Toc6938"/>
      <w:bookmarkStart w:id="579" w:name="_Toc27554"/>
      <w:bookmarkStart w:id="580" w:name="_Toc6196"/>
      <w:bookmarkStart w:id="581" w:name="_Toc9974"/>
      <w:bookmarkStart w:id="582" w:name="_Toc6049"/>
      <w:bookmarkStart w:id="583" w:name="_Toc10771"/>
      <w:bookmarkStart w:id="584" w:name="_Toc2017"/>
      <w:bookmarkStart w:id="585" w:name="_Toc6113"/>
      <w:bookmarkStart w:id="586" w:name="_Toc4117"/>
      <w:bookmarkStart w:id="587" w:name="_Toc17709"/>
      <w:bookmarkStart w:id="588" w:name="_Toc13330"/>
      <w:bookmarkStart w:id="589" w:name="_Toc18443"/>
      <w:bookmarkStart w:id="590" w:name="_Toc6366"/>
      <w:bookmarkStart w:id="591" w:name="_Toc21803"/>
      <w:bookmarkStart w:id="592" w:name="_Toc20028"/>
      <w:bookmarkStart w:id="593" w:name="_Toc5037"/>
      <w:bookmarkStart w:id="594" w:name="_Toc5881"/>
      <w:bookmarkStart w:id="595" w:name="_Toc10487"/>
      <w:bookmarkStart w:id="596" w:name="_Toc22629"/>
      <w:bookmarkStart w:id="597" w:name="_Toc22110"/>
      <w:bookmarkStart w:id="598" w:name="_Toc24456"/>
      <w:bookmarkStart w:id="599" w:name="_Toc20751"/>
      <w:bookmarkStart w:id="600" w:name="_Toc18055"/>
      <w:bookmarkStart w:id="601" w:name="_Toc18918"/>
      <w:bookmarkStart w:id="602" w:name="_Toc22008"/>
      <w:bookmarkStart w:id="603" w:name="_Toc11090"/>
      <w:bookmarkStart w:id="604" w:name="_Toc15366"/>
      <w:bookmarkStart w:id="605" w:name="_Toc20717"/>
      <w:bookmarkStart w:id="606" w:name="_Toc16691"/>
      <w:bookmarkStart w:id="607" w:name="_Toc7151"/>
      <w:bookmarkStart w:id="608" w:name="_Toc1771"/>
      <w:bookmarkStart w:id="609" w:name="_Toc21670"/>
      <w:bookmarkStart w:id="610" w:name="_Toc18112"/>
      <w:r>
        <w:rPr>
          <w:rFonts w:ascii="仿宋_GB2312" w:hAnsi="仿宋_GB2312" w:cs="仿宋_GB2312"/>
          <w:szCs w:val="32"/>
        </w:rPr>
        <w:t>2.2.3  事件处置工作组的职责</w:t>
      </w:r>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p>
    <w:p>
      <w:pPr>
        <w:snapToGrid w:val="0"/>
        <w:ind w:firstLine="640"/>
        <w:rPr>
          <w:bCs/>
          <w:color w:val="000000" w:themeColor="text1"/>
          <w14:textFill>
            <w14:solidFill>
              <w14:schemeClr w14:val="tx1"/>
            </w14:solidFill>
          </w14:textFill>
        </w:rPr>
      </w:pPr>
      <w:r>
        <w:rPr>
          <w:rFonts w:hint="eastAsia"/>
          <w:bCs/>
        </w:rPr>
        <w:t>应急指挥部根据实际情况，依据应急指挥部各成员单位的职责，可成立综合协调、</w:t>
      </w:r>
      <w:r>
        <w:rPr>
          <w:rFonts w:hint="eastAsia"/>
          <w:bCs/>
          <w:color w:val="000000" w:themeColor="text1"/>
          <w14:textFill>
            <w14:solidFill>
              <w14:schemeClr w14:val="tx1"/>
            </w14:solidFill>
          </w14:textFill>
        </w:rPr>
        <w:t>风险处置、信息发布、治安维护、应急保障、专家咨询等工作组，由相关部门承担具体职责，也可抽调人员集中办公，集中处置。</w:t>
      </w:r>
    </w:p>
    <w:p>
      <w:pPr>
        <w:snapToGrid w:val="0"/>
        <w:ind w:firstLine="643"/>
        <w:rPr>
          <w:b/>
        </w:rPr>
      </w:pPr>
      <w:r>
        <w:rPr>
          <w:rFonts w:hint="eastAsia"/>
          <w:b/>
        </w:rPr>
        <w:t>综合协调组：</w:t>
      </w:r>
      <w:r>
        <w:rPr>
          <w:rFonts w:hint="eastAsia"/>
          <w:bCs/>
          <w:color w:val="000000" w:themeColor="text1"/>
          <w14:textFill>
            <w14:solidFill>
              <w14:schemeClr w14:val="tx1"/>
            </w14:solidFill>
          </w14:textFill>
        </w:rPr>
        <w:t>由市地方金融监管局抽调部分成员单位工作人员组成。负责综合协调、会议组织、会议纪要、综合文字、资料整理，信息的调度、汇总、上报及联络等工作。</w:t>
      </w:r>
    </w:p>
    <w:p>
      <w:pPr>
        <w:snapToGrid w:val="0"/>
        <w:ind w:firstLine="643"/>
        <w:rPr>
          <w:b/>
          <w:color w:val="000000" w:themeColor="text1"/>
          <w14:textFill>
            <w14:solidFill>
              <w14:schemeClr w14:val="tx1"/>
            </w14:solidFill>
          </w14:textFill>
        </w:rPr>
      </w:pPr>
      <w:r>
        <w:rPr>
          <w:rFonts w:hint="eastAsia"/>
          <w:b/>
        </w:rPr>
        <w:t>风险处置组：</w:t>
      </w:r>
      <w:r>
        <w:rPr>
          <w:rFonts w:hint="eastAsia"/>
          <w:bCs/>
          <w:color w:val="000000" w:themeColor="text1"/>
          <w14:textFill>
            <w14:solidFill>
              <w14:schemeClr w14:val="tx1"/>
            </w14:solidFill>
          </w14:textFill>
        </w:rPr>
        <w:t>由市地方金融监管局牵头，金融管理（监管）部门、事发单位所在区政府等组成。负责组织有关单位按照应急预案，依法依规进行处置，动态监测金融风险苗头，及时向应急指挥部提示风险，防止事态进一步恶化。</w:t>
      </w:r>
    </w:p>
    <w:p>
      <w:pPr>
        <w:snapToGrid w:val="0"/>
        <w:ind w:firstLine="643"/>
        <w:rPr>
          <w:bCs/>
          <w:color w:val="000000" w:themeColor="text1"/>
          <w14:textFill>
            <w14:solidFill>
              <w14:schemeClr w14:val="tx1"/>
            </w14:solidFill>
          </w14:textFill>
        </w:rPr>
      </w:pPr>
      <w:r>
        <w:rPr>
          <w:rFonts w:hint="eastAsia"/>
          <w:b/>
          <w:color w:val="000000" w:themeColor="text1"/>
          <w14:textFill>
            <w14:solidFill>
              <w14:schemeClr w14:val="tx1"/>
            </w14:solidFill>
          </w14:textFill>
        </w:rPr>
        <w:t>信息发布组：</w:t>
      </w:r>
      <w:r>
        <w:rPr>
          <w:rFonts w:hint="eastAsia"/>
          <w:bCs/>
          <w:color w:val="000000" w:themeColor="text1"/>
          <w14:textFill>
            <w14:solidFill>
              <w14:schemeClr w14:val="tx1"/>
            </w14:solidFill>
          </w14:textFill>
        </w:rPr>
        <w:t>由市委宣传部牵头，市委网信办、金融管理（监管）部门和事发单位所在区政府等组成。负责收集、整理网络舆情信息，核实并报告反映的问题，发布正确信息；做好舆论引导，指导协调做好新闻报道工作。</w:t>
      </w:r>
    </w:p>
    <w:p>
      <w:pPr>
        <w:snapToGrid w:val="0"/>
        <w:ind w:firstLine="643"/>
        <w:rPr>
          <w:bCs/>
        </w:rPr>
      </w:pPr>
      <w:r>
        <w:rPr>
          <w:rFonts w:hint="eastAsia"/>
          <w:b/>
        </w:rPr>
        <w:t>治安维护组：</w:t>
      </w:r>
      <w:r>
        <w:rPr>
          <w:rFonts w:hint="eastAsia"/>
          <w:bCs/>
        </w:rPr>
        <w:t>由市委政法委、市公安局牵头，事发单位所在区政府配合。参与金融突发事件应急处置工作，防范和处置群体性事件；对违法犯罪嫌疑人依法调查，查处其违法犯罪行为。</w:t>
      </w:r>
    </w:p>
    <w:p>
      <w:pPr>
        <w:snapToGrid w:val="0"/>
        <w:ind w:firstLine="643"/>
        <w:rPr>
          <w:bCs/>
        </w:rPr>
      </w:pPr>
      <w:r>
        <w:rPr>
          <w:rFonts w:hint="eastAsia"/>
          <w:b/>
        </w:rPr>
        <w:t>应急保障组：</w:t>
      </w:r>
      <w:r>
        <w:rPr>
          <w:rFonts w:hint="eastAsia"/>
          <w:bCs/>
        </w:rPr>
        <w:t>由市地方金融监管局牵头，市</w:t>
      </w:r>
      <w:r>
        <w:rPr>
          <w:rFonts w:hint="eastAsia" w:ascii="仿宋_GB2312" w:hAnsi="仿宋_GB2312" w:cs="仿宋_GB2312"/>
          <w:bCs/>
          <w:szCs w:val="32"/>
        </w:rPr>
        <w:t>工业和信息化局</w:t>
      </w:r>
      <w:r>
        <w:rPr>
          <w:rFonts w:hint="eastAsia"/>
          <w:bCs/>
        </w:rPr>
        <w:t>、市</w:t>
      </w:r>
      <w:r>
        <w:rPr>
          <w:rFonts w:hint="eastAsia" w:ascii="仿宋_GB2312" w:hAnsi="仿宋_GB2312" w:cs="仿宋_GB2312"/>
          <w:bCs/>
          <w:szCs w:val="32"/>
        </w:rPr>
        <w:t>财政局</w:t>
      </w:r>
      <w:r>
        <w:rPr>
          <w:rFonts w:hint="eastAsia"/>
          <w:bCs/>
        </w:rPr>
        <w:t>、市司法局参加。</w:t>
      </w:r>
      <w:r>
        <w:rPr>
          <w:rFonts w:hint="eastAsia"/>
        </w:rPr>
        <w:t>市工业和信息化局负责协调做好通信保障</w:t>
      </w:r>
      <w:r>
        <w:rPr>
          <w:rFonts w:hint="eastAsia"/>
          <w:bCs/>
        </w:rPr>
        <w:t>；</w:t>
      </w:r>
      <w:r>
        <w:rPr>
          <w:rFonts w:hint="eastAsia" w:cs="Times New Roman"/>
        </w:rPr>
        <w:t>市财政局负责资金保障</w:t>
      </w:r>
      <w:r>
        <w:rPr>
          <w:rFonts w:hint="eastAsia"/>
          <w:bCs/>
        </w:rPr>
        <w:t>；</w:t>
      </w:r>
      <w:r>
        <w:rPr>
          <w:rFonts w:hint="eastAsia"/>
        </w:rPr>
        <w:t>市司法局配合对突发事件应对工作提供法律意见</w:t>
      </w:r>
      <w:r>
        <w:rPr>
          <w:rFonts w:hint="eastAsia" w:ascii="仿宋_GB2312" w:hAnsi="仿宋_GB2312" w:cs="仿宋_GB2312"/>
          <w:b/>
          <w:bCs/>
          <w:sz w:val="28"/>
          <w:szCs w:val="28"/>
        </w:rPr>
        <w:t>，</w:t>
      </w:r>
      <w:r>
        <w:rPr>
          <w:rFonts w:hint="eastAsia"/>
          <w:bCs/>
        </w:rPr>
        <w:t>并协助组织有关律师适时介入提供法律服务。</w:t>
      </w:r>
    </w:p>
    <w:p>
      <w:pPr>
        <w:snapToGrid w:val="0"/>
        <w:ind w:firstLine="643"/>
        <w:rPr>
          <w:bCs/>
        </w:rPr>
      </w:pPr>
      <w:r>
        <w:rPr>
          <w:rFonts w:hint="eastAsia"/>
          <w:b/>
        </w:rPr>
        <w:t>专家咨询组：</w:t>
      </w:r>
      <w:r>
        <w:rPr>
          <w:rFonts w:hint="eastAsia"/>
          <w:bCs/>
        </w:rPr>
        <w:t>由市地方金融监管局、人民银行广州分行牵头，金融管理（监管）部门与专业机构参加。负责组织专家提出金融突发事件应急处置工作建议，为重大金融突发事件的风险防范和应急处置提供技术支持。</w:t>
      </w:r>
    </w:p>
    <w:p>
      <w:pPr>
        <w:pStyle w:val="2"/>
        <w:ind w:firstLine="640"/>
        <w:rPr>
          <w:rFonts w:hint="default"/>
          <w:b w:val="0"/>
          <w:bCs/>
        </w:rPr>
      </w:pPr>
      <w:bookmarkStart w:id="611" w:name="_Toc20879"/>
      <w:bookmarkStart w:id="612" w:name="_Toc22416"/>
      <w:bookmarkStart w:id="613" w:name="_Toc15266"/>
      <w:bookmarkStart w:id="614" w:name="_Toc4305"/>
      <w:bookmarkStart w:id="615" w:name="_Toc17146"/>
      <w:bookmarkStart w:id="616" w:name="_Toc4881"/>
      <w:bookmarkStart w:id="617" w:name="_Toc2541"/>
      <w:bookmarkStart w:id="618" w:name="_Toc25930"/>
      <w:bookmarkStart w:id="619" w:name="_Toc7341"/>
      <w:bookmarkStart w:id="620" w:name="_Toc29688"/>
      <w:bookmarkStart w:id="621" w:name="_Toc14283"/>
      <w:bookmarkStart w:id="622" w:name="_Toc28693"/>
      <w:bookmarkStart w:id="623" w:name="_Toc22449"/>
      <w:bookmarkStart w:id="624" w:name="_Toc32502"/>
      <w:bookmarkStart w:id="625" w:name="_Toc31759"/>
      <w:bookmarkStart w:id="626" w:name="_Toc3970"/>
      <w:bookmarkStart w:id="627" w:name="_Toc19436"/>
      <w:bookmarkStart w:id="628" w:name="_Toc559"/>
      <w:bookmarkStart w:id="629" w:name="_Toc5771"/>
      <w:bookmarkStart w:id="630" w:name="_Toc11001"/>
      <w:bookmarkStart w:id="631" w:name="_Toc2944"/>
      <w:bookmarkStart w:id="632" w:name="_Toc17493"/>
      <w:bookmarkStart w:id="633" w:name="_Toc29882"/>
      <w:bookmarkStart w:id="634" w:name="_Toc25845"/>
      <w:bookmarkStart w:id="635" w:name="_Toc30526"/>
      <w:bookmarkStart w:id="636" w:name="_Toc16628"/>
      <w:bookmarkStart w:id="637" w:name="_Toc14227"/>
      <w:bookmarkStart w:id="638" w:name="_Toc14777_WPSOffice_Level1"/>
      <w:bookmarkStart w:id="639" w:name="_Toc24669"/>
      <w:bookmarkStart w:id="640" w:name="_Toc12062"/>
      <w:bookmarkStart w:id="641" w:name="_Toc10678"/>
      <w:bookmarkStart w:id="642" w:name="_Toc8135"/>
      <w:bookmarkStart w:id="643" w:name="_Toc7601"/>
      <w:bookmarkStart w:id="644" w:name="_Toc3318"/>
      <w:bookmarkStart w:id="645" w:name="_Toc14891"/>
      <w:bookmarkStart w:id="646" w:name="_Toc23856"/>
      <w:bookmarkStart w:id="647" w:name="_Toc10716"/>
      <w:bookmarkStart w:id="648" w:name="_Toc13308"/>
      <w:bookmarkStart w:id="649" w:name="_Toc1423"/>
      <w:r>
        <w:rPr>
          <w:b w:val="0"/>
          <w:bCs/>
        </w:rPr>
        <w:t>3　预防预警</w:t>
      </w:r>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p>
    <w:p>
      <w:pPr>
        <w:pStyle w:val="3"/>
        <w:snapToGrid w:val="0"/>
        <w:spacing w:line="560" w:lineRule="exact"/>
        <w:ind w:firstLine="643"/>
        <w:rPr>
          <w:bCs w:val="0"/>
        </w:rPr>
      </w:pPr>
      <w:bookmarkStart w:id="650" w:name="_Toc29575"/>
      <w:bookmarkStart w:id="651" w:name="_Toc6007"/>
      <w:bookmarkStart w:id="652" w:name="_Toc5539"/>
      <w:bookmarkStart w:id="653" w:name="_Toc27346"/>
      <w:bookmarkStart w:id="654" w:name="_Toc2199"/>
      <w:bookmarkStart w:id="655" w:name="_Toc8362"/>
      <w:bookmarkStart w:id="656" w:name="_Toc23315"/>
      <w:bookmarkStart w:id="657" w:name="_Toc9344"/>
      <w:bookmarkStart w:id="658" w:name="_Toc18375"/>
      <w:bookmarkStart w:id="659" w:name="_Toc6486"/>
      <w:bookmarkStart w:id="660" w:name="_Toc2279"/>
      <w:bookmarkStart w:id="661" w:name="_Toc23469"/>
      <w:bookmarkStart w:id="662" w:name="_Toc21937_WPSOffice_Level2"/>
      <w:bookmarkStart w:id="663" w:name="_Toc31011"/>
      <w:bookmarkStart w:id="664" w:name="_Toc468"/>
      <w:bookmarkStart w:id="665" w:name="_Toc26825"/>
      <w:bookmarkStart w:id="666" w:name="_Toc22750"/>
      <w:bookmarkStart w:id="667" w:name="_Toc5460"/>
      <w:bookmarkStart w:id="668" w:name="_Toc22893"/>
      <w:bookmarkStart w:id="669" w:name="_Toc13708"/>
      <w:bookmarkStart w:id="670" w:name="_Toc29969"/>
      <w:bookmarkStart w:id="671" w:name="_Toc13763"/>
      <w:bookmarkStart w:id="672" w:name="_Toc9500"/>
      <w:bookmarkStart w:id="673" w:name="_Toc8595"/>
      <w:bookmarkStart w:id="674" w:name="_Toc17444"/>
      <w:bookmarkStart w:id="675" w:name="_Toc24084"/>
      <w:bookmarkStart w:id="676" w:name="_Toc26196"/>
      <w:bookmarkStart w:id="677" w:name="_Toc8530"/>
      <w:bookmarkStart w:id="678" w:name="_Toc12411"/>
      <w:bookmarkStart w:id="679" w:name="_Toc4750"/>
      <w:bookmarkStart w:id="680" w:name="_Toc13676"/>
      <w:bookmarkStart w:id="681" w:name="_Toc32192"/>
      <w:bookmarkStart w:id="682" w:name="_Toc17144"/>
      <w:bookmarkStart w:id="683" w:name="_Toc32652"/>
      <w:bookmarkStart w:id="684" w:name="_Toc24038"/>
      <w:bookmarkStart w:id="685" w:name="_Toc31181"/>
      <w:bookmarkStart w:id="686" w:name="_Toc21744"/>
      <w:bookmarkStart w:id="687" w:name="_Toc25040"/>
      <w:bookmarkStart w:id="688" w:name="_Toc7684"/>
      <w:r>
        <w:rPr>
          <w:rFonts w:hint="eastAsia"/>
          <w:bCs w:val="0"/>
        </w:rPr>
        <w:t>3.1　预警信息</w:t>
      </w:r>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p>
    <w:p>
      <w:pPr>
        <w:snapToGrid w:val="0"/>
        <w:ind w:firstLine="643"/>
        <w:rPr>
          <w:bCs/>
        </w:rPr>
      </w:pPr>
      <w:r>
        <w:rPr>
          <w:rFonts w:hint="eastAsia" w:ascii="仿宋_GB2312" w:hAnsi="仿宋_GB2312" w:cs="仿宋_GB2312"/>
          <w:b/>
          <w:szCs w:val="32"/>
        </w:rPr>
        <w:t xml:space="preserve">3.1.1 </w:t>
      </w:r>
      <w:r>
        <w:rPr>
          <w:rFonts w:hint="eastAsia"/>
          <w:bCs/>
        </w:rPr>
        <w:t xml:space="preserve"> 各金融管理（监管）部门负责对本行业</w:t>
      </w:r>
      <w:r>
        <w:rPr>
          <w:rFonts w:hint="eastAsia" w:ascii="仿宋_GB2312" w:hAnsi="仿宋_GB2312" w:cs="仿宋_GB2312"/>
          <w:bCs/>
        </w:rPr>
        <w:t>(领域)</w:t>
      </w:r>
      <w:r>
        <w:rPr>
          <w:rFonts w:hint="eastAsia"/>
          <w:bCs/>
        </w:rPr>
        <w:t>运行情况进行监测，健全金融突发事件监测及报告制度。做好预警平台信息、行业部门信息、群众举报信息、金融机构资金监测信息的收集整理和分析研判，完善线索发现、收集、处理、反馈、移交等制度流程，形成工作闭环。对异常数据及违法、违规行为等信息，组织分析研判，对可能造成重大、特别重大金融突发事件的信息，及时通报应急指挥部办公室。</w:t>
      </w:r>
    </w:p>
    <w:p>
      <w:pPr>
        <w:snapToGrid w:val="0"/>
        <w:ind w:firstLine="643"/>
        <w:rPr>
          <w:bCs/>
        </w:rPr>
      </w:pPr>
      <w:r>
        <w:rPr>
          <w:rFonts w:hint="eastAsia" w:ascii="仿宋_GB2312" w:hAnsi="仿宋_GB2312" w:cs="仿宋_GB2312"/>
          <w:b/>
          <w:szCs w:val="32"/>
        </w:rPr>
        <w:t xml:space="preserve">3.1.2  </w:t>
      </w:r>
      <w:r>
        <w:rPr>
          <w:rFonts w:hint="eastAsia"/>
          <w:bCs/>
        </w:rPr>
        <w:t>结合本市实际，重点监测本市行政区域内金融机构（持牌金融机构、类金融机构等）的运行情况及其开展的业务活动和发行的金融产品，以及金融市场和金融市场基础设施等发生金融突发事件的风险隐患。</w:t>
      </w:r>
    </w:p>
    <w:p>
      <w:pPr>
        <w:snapToGrid w:val="0"/>
        <w:ind w:firstLine="643"/>
        <w:rPr>
          <w:bCs/>
        </w:rPr>
      </w:pPr>
      <w:r>
        <w:rPr>
          <w:rFonts w:hint="eastAsia" w:ascii="仿宋_GB2312" w:hAnsi="仿宋_GB2312" w:cs="仿宋_GB2312"/>
          <w:b/>
          <w:szCs w:val="32"/>
        </w:rPr>
        <w:t xml:space="preserve">3.1.3 </w:t>
      </w:r>
      <w:r>
        <w:rPr>
          <w:rFonts w:hint="eastAsia"/>
          <w:bCs/>
        </w:rPr>
        <w:t xml:space="preserve"> 各金融管理（监管）部门，宣传、网信、公安等部门收集媒体对本市金融突发事件和有关敏感问题的报道，跟踪舆情动态，发现存在严重影响本市金融稳定的金融突发事件时，及时报告。</w:t>
      </w:r>
    </w:p>
    <w:p>
      <w:pPr>
        <w:snapToGrid w:val="0"/>
        <w:ind w:firstLine="643"/>
        <w:rPr>
          <w:bCs/>
        </w:rPr>
      </w:pPr>
      <w:r>
        <w:rPr>
          <w:rFonts w:hint="eastAsia" w:ascii="仿宋_GB2312" w:hAnsi="仿宋_GB2312" w:cs="仿宋_GB2312"/>
          <w:b/>
          <w:szCs w:val="32"/>
        </w:rPr>
        <w:t xml:space="preserve">3.1.4  </w:t>
      </w:r>
      <w:r>
        <w:rPr>
          <w:rFonts w:hint="eastAsia"/>
          <w:bCs/>
        </w:rPr>
        <w:t>对于涉密重要信息，各单位遵守相关规定，做好信息保密工作。</w:t>
      </w:r>
    </w:p>
    <w:p>
      <w:pPr>
        <w:pStyle w:val="3"/>
        <w:snapToGrid w:val="0"/>
        <w:spacing w:line="560" w:lineRule="exact"/>
        <w:ind w:firstLine="643"/>
        <w:rPr>
          <w:bCs w:val="0"/>
        </w:rPr>
      </w:pPr>
      <w:bookmarkStart w:id="689" w:name="_Toc18491"/>
      <w:bookmarkStart w:id="690" w:name="_Toc16614"/>
      <w:bookmarkStart w:id="691" w:name="_Toc12013"/>
      <w:bookmarkStart w:id="692" w:name="_Toc10276"/>
      <w:bookmarkStart w:id="693" w:name="_Toc21299"/>
      <w:bookmarkStart w:id="694" w:name="_Toc30911"/>
      <w:bookmarkStart w:id="695" w:name="_Toc5347"/>
      <w:bookmarkStart w:id="696" w:name="_Toc2075"/>
      <w:bookmarkStart w:id="697" w:name="_Toc25169"/>
      <w:bookmarkStart w:id="698" w:name="_Toc9333"/>
      <w:bookmarkStart w:id="699" w:name="_Toc32049"/>
      <w:bookmarkStart w:id="700" w:name="_Toc4068"/>
      <w:bookmarkStart w:id="701" w:name="_Toc5367"/>
      <w:bookmarkStart w:id="702" w:name="_Toc1583"/>
      <w:bookmarkStart w:id="703" w:name="_Toc21120"/>
      <w:bookmarkStart w:id="704" w:name="_Toc2210"/>
      <w:bookmarkStart w:id="705" w:name="_Toc2958"/>
      <w:bookmarkStart w:id="706" w:name="_Toc3058"/>
      <w:bookmarkStart w:id="707" w:name="_Toc6764"/>
      <w:bookmarkStart w:id="708" w:name="_Toc16226"/>
      <w:bookmarkStart w:id="709" w:name="_Toc19148_WPSOffice_Level2"/>
      <w:bookmarkStart w:id="710" w:name="_Toc20736"/>
      <w:bookmarkStart w:id="711" w:name="_Toc30926"/>
      <w:bookmarkStart w:id="712" w:name="_Toc24531"/>
      <w:bookmarkStart w:id="713" w:name="_Toc9780"/>
      <w:bookmarkStart w:id="714" w:name="_Toc6889"/>
      <w:bookmarkStart w:id="715" w:name="_Toc31925"/>
      <w:bookmarkStart w:id="716" w:name="_Toc11174"/>
      <w:bookmarkStart w:id="717" w:name="_Toc28397"/>
      <w:bookmarkStart w:id="718" w:name="_Toc28644"/>
      <w:bookmarkStart w:id="719" w:name="_Toc8852"/>
      <w:bookmarkStart w:id="720" w:name="_Toc7067"/>
      <w:bookmarkStart w:id="721" w:name="_Toc7187"/>
      <w:bookmarkStart w:id="722" w:name="_Toc18772"/>
      <w:bookmarkStart w:id="723" w:name="_Toc3075"/>
      <w:bookmarkStart w:id="724" w:name="_Toc15387"/>
      <w:bookmarkStart w:id="725" w:name="_Toc30228"/>
      <w:bookmarkStart w:id="726" w:name="_Toc19244"/>
      <w:bookmarkStart w:id="727" w:name="_Toc11040"/>
      <w:r>
        <w:rPr>
          <w:rFonts w:hint="eastAsia"/>
          <w:bCs w:val="0"/>
        </w:rPr>
        <w:t>3.2　风险评估</w:t>
      </w:r>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p>
    <w:p>
      <w:pPr>
        <w:snapToGrid w:val="0"/>
        <w:ind w:firstLine="643"/>
        <w:rPr>
          <w:bCs/>
        </w:rPr>
      </w:pPr>
      <w:r>
        <w:rPr>
          <w:rFonts w:hint="eastAsia" w:ascii="仿宋_GB2312" w:hAnsi="仿宋_GB2312" w:cs="仿宋_GB2312"/>
          <w:b/>
          <w:szCs w:val="32"/>
        </w:rPr>
        <w:t xml:space="preserve">3.2.1 </w:t>
      </w:r>
      <w:r>
        <w:rPr>
          <w:rFonts w:hint="eastAsia"/>
          <w:bCs/>
        </w:rPr>
        <w:t xml:space="preserve"> 各金融管理（监管）部门负责监测本行业（领域）各类金融风险发生的可能性、影响程度、应对难度、应对迫切度等，并对可能引发重大、特别重大金融突发事件的风险，编制金融风险评估报告，通报应急指挥部办公室。</w:t>
      </w:r>
    </w:p>
    <w:p>
      <w:pPr>
        <w:snapToGrid w:val="0"/>
        <w:ind w:firstLine="643"/>
        <w:rPr>
          <w:bCs/>
        </w:rPr>
      </w:pPr>
      <w:r>
        <w:rPr>
          <w:rFonts w:hint="eastAsia" w:ascii="仿宋_GB2312" w:hAnsi="仿宋_GB2312" w:cs="仿宋_GB2312"/>
          <w:b/>
          <w:szCs w:val="32"/>
        </w:rPr>
        <w:t xml:space="preserve">3.2.2  </w:t>
      </w:r>
      <w:r>
        <w:rPr>
          <w:rFonts w:hint="eastAsia"/>
          <w:bCs/>
        </w:rPr>
        <w:t>各金融管理（监管）部门之间加强信息沟通。市地方金融监管局、人民银行广州分行、广东银保监局、广东证监局定期评估本系统内的金融风险状况，研判金融风险形势，形成金融风险研判报告，并加强共享。</w:t>
      </w:r>
    </w:p>
    <w:p>
      <w:pPr>
        <w:pStyle w:val="3"/>
        <w:snapToGrid w:val="0"/>
        <w:spacing w:line="560" w:lineRule="exact"/>
        <w:ind w:firstLine="643"/>
        <w:rPr>
          <w:bCs w:val="0"/>
        </w:rPr>
      </w:pPr>
      <w:bookmarkStart w:id="728" w:name="_Toc21618"/>
      <w:bookmarkStart w:id="729" w:name="_Toc26340"/>
      <w:bookmarkStart w:id="730" w:name="_Toc23470"/>
      <w:bookmarkStart w:id="731" w:name="_Toc23769"/>
      <w:bookmarkStart w:id="732" w:name="_Toc24409"/>
      <w:bookmarkStart w:id="733" w:name="_Toc12176"/>
      <w:bookmarkStart w:id="734" w:name="_Toc3361"/>
      <w:bookmarkStart w:id="735" w:name="_Toc18571"/>
      <w:bookmarkStart w:id="736" w:name="_Toc7630"/>
      <w:bookmarkStart w:id="737" w:name="_Toc18543"/>
      <w:bookmarkStart w:id="738" w:name="_Toc20863"/>
      <w:bookmarkStart w:id="739" w:name="_Toc4702"/>
      <w:bookmarkStart w:id="740" w:name="_Toc32127"/>
      <w:bookmarkStart w:id="741" w:name="_Toc75"/>
      <w:bookmarkStart w:id="742" w:name="_Toc1796_WPSOffice_Level2"/>
      <w:bookmarkStart w:id="743" w:name="_Toc10378"/>
      <w:bookmarkStart w:id="744" w:name="_Toc19780"/>
      <w:bookmarkStart w:id="745" w:name="_Toc24891"/>
      <w:bookmarkStart w:id="746" w:name="_Toc15592"/>
      <w:bookmarkStart w:id="747" w:name="_Toc199"/>
      <w:bookmarkStart w:id="748" w:name="_Toc28588"/>
      <w:bookmarkStart w:id="749" w:name="_Toc25536"/>
      <w:bookmarkStart w:id="750" w:name="_Toc15931"/>
      <w:bookmarkStart w:id="751" w:name="_Toc10856"/>
      <w:bookmarkStart w:id="752" w:name="_Toc18634"/>
      <w:bookmarkStart w:id="753" w:name="_Toc4796"/>
      <w:bookmarkStart w:id="754" w:name="_Toc30902"/>
      <w:bookmarkStart w:id="755" w:name="_Toc27848"/>
      <w:bookmarkStart w:id="756" w:name="_Toc28540"/>
      <w:bookmarkStart w:id="757" w:name="_Toc28714"/>
      <w:bookmarkStart w:id="758" w:name="_Toc14613"/>
      <w:bookmarkStart w:id="759" w:name="_Toc7410"/>
      <w:bookmarkStart w:id="760" w:name="_Toc31250"/>
      <w:bookmarkStart w:id="761" w:name="_Toc3343"/>
      <w:bookmarkStart w:id="762" w:name="_Toc22958"/>
      <w:bookmarkStart w:id="763" w:name="_Toc17580"/>
      <w:bookmarkStart w:id="764" w:name="_Toc4486"/>
      <w:bookmarkStart w:id="765" w:name="_Toc17440"/>
      <w:bookmarkStart w:id="766" w:name="_Toc25221"/>
      <w:r>
        <w:rPr>
          <w:rFonts w:hint="eastAsia"/>
          <w:bCs w:val="0"/>
        </w:rPr>
        <w:t>3.3　风险防范</w:t>
      </w:r>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p>
    <w:p>
      <w:pPr>
        <w:snapToGrid w:val="0"/>
        <w:ind w:firstLine="640"/>
        <w:rPr>
          <w:rFonts w:ascii="宋体" w:hAnsi="宋体" w:eastAsia="宋体" w:cs="宋体"/>
          <w:bCs/>
          <w:szCs w:val="24"/>
        </w:rPr>
      </w:pPr>
      <w:r>
        <w:rPr>
          <w:rFonts w:hint="eastAsia"/>
          <w:bCs/>
        </w:rPr>
        <w:t>由于金融行业特殊性，金融风险的扩散、蔓延迅速，处置不当极有可能危及宏观经济运行和金融稳定。各金融管理（监管）部门对本领域发生的一般金融风险，制定金融风险防范与处置方案，并组织处置，同时可根据金融风险程度，发布金融预警信息。</w:t>
      </w:r>
    </w:p>
    <w:p>
      <w:pPr>
        <w:pStyle w:val="3"/>
        <w:snapToGrid w:val="0"/>
        <w:spacing w:line="560" w:lineRule="exact"/>
        <w:ind w:firstLine="643"/>
        <w:rPr>
          <w:b w:val="0"/>
        </w:rPr>
      </w:pPr>
      <w:bookmarkStart w:id="767" w:name="_Toc25777"/>
      <w:bookmarkStart w:id="768" w:name="_Toc32547"/>
      <w:bookmarkStart w:id="769" w:name="_Toc12004"/>
      <w:bookmarkStart w:id="770" w:name="_Toc19747"/>
      <w:bookmarkStart w:id="771" w:name="_Toc14833_WPSOffice_Level2"/>
      <w:bookmarkStart w:id="772" w:name="_Toc5230"/>
      <w:bookmarkStart w:id="773" w:name="_Toc10374"/>
      <w:bookmarkStart w:id="774" w:name="_Toc29989"/>
      <w:bookmarkStart w:id="775" w:name="_Toc3737"/>
      <w:bookmarkStart w:id="776" w:name="_Toc12828"/>
      <w:bookmarkStart w:id="777" w:name="_Toc24941"/>
      <w:bookmarkStart w:id="778" w:name="_Toc29324"/>
      <w:bookmarkStart w:id="779" w:name="_Toc27918"/>
      <w:bookmarkStart w:id="780" w:name="_Toc12890"/>
      <w:bookmarkStart w:id="781" w:name="_Toc30560"/>
      <w:bookmarkStart w:id="782" w:name="_Toc32748"/>
      <w:bookmarkStart w:id="783" w:name="_Toc9899"/>
      <w:bookmarkStart w:id="784" w:name="_Toc1841"/>
      <w:bookmarkStart w:id="785" w:name="_Toc9661"/>
      <w:bookmarkStart w:id="786" w:name="_Toc9087"/>
      <w:bookmarkStart w:id="787" w:name="_Toc7611"/>
      <w:bookmarkStart w:id="788" w:name="_Toc7467"/>
      <w:bookmarkStart w:id="789" w:name="_Toc22652"/>
      <w:bookmarkStart w:id="790" w:name="_Toc30059"/>
      <w:bookmarkStart w:id="791" w:name="_Toc19755"/>
      <w:bookmarkStart w:id="792" w:name="_Toc9070"/>
      <w:bookmarkStart w:id="793" w:name="_Toc9110"/>
      <w:bookmarkStart w:id="794" w:name="_Toc5428"/>
      <w:bookmarkStart w:id="795" w:name="_Toc26953"/>
      <w:bookmarkStart w:id="796" w:name="_Toc31158"/>
      <w:bookmarkStart w:id="797" w:name="_Toc12367"/>
      <w:bookmarkStart w:id="798" w:name="_Toc17949"/>
      <w:bookmarkStart w:id="799" w:name="_Toc28448"/>
      <w:bookmarkStart w:id="800" w:name="_Toc31309"/>
      <w:bookmarkStart w:id="801" w:name="_Toc25738"/>
      <w:bookmarkStart w:id="802" w:name="_Toc32538"/>
      <w:bookmarkStart w:id="803" w:name="_Toc3184"/>
      <w:bookmarkStart w:id="804" w:name="_Toc14888"/>
      <w:bookmarkStart w:id="805" w:name="_Toc1800"/>
      <w:r>
        <w:rPr>
          <w:rFonts w:hint="eastAsia"/>
          <w:bCs w:val="0"/>
        </w:rPr>
        <w:t>3.4　预警响应</w:t>
      </w:r>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p>
    <w:p>
      <w:pPr>
        <w:snapToGrid w:val="0"/>
        <w:ind w:firstLine="640"/>
        <w:rPr>
          <w:bCs/>
        </w:rPr>
      </w:pPr>
      <w:r>
        <w:rPr>
          <w:rFonts w:hint="eastAsia"/>
          <w:bCs/>
        </w:rPr>
        <w:t>根据即将发生的金融突发事件特点和可能造成的危害，金融管理（监管）部门、其他相关部门和相关区人民政府依据应急预案立即响应，采取下列一项或多项措施：</w:t>
      </w:r>
    </w:p>
    <w:p>
      <w:pPr>
        <w:snapToGrid w:val="0"/>
        <w:ind w:firstLine="640"/>
        <w:rPr>
          <w:bCs/>
        </w:rPr>
      </w:pPr>
      <w:r>
        <w:rPr>
          <w:rFonts w:cs="Times New Roman"/>
          <w:bCs/>
        </w:rPr>
        <w:t>（1）</w:t>
      </w:r>
      <w:r>
        <w:rPr>
          <w:rFonts w:hint="eastAsia"/>
          <w:bCs/>
        </w:rPr>
        <w:t>责令有关部门、专业机构、监测网点和负有信息报告职责的人员及时收集、报告有关信息，加强对金融突发事件发生、发展情况的监测、预报和预警工作；</w:t>
      </w:r>
    </w:p>
    <w:p>
      <w:pPr>
        <w:snapToGrid w:val="0"/>
        <w:ind w:firstLine="640"/>
        <w:rPr>
          <w:bCs/>
        </w:rPr>
      </w:pPr>
      <w:r>
        <w:rPr>
          <w:rFonts w:cs="Times New Roman"/>
          <w:bCs/>
        </w:rPr>
        <w:t>（2）</w:t>
      </w:r>
      <w:r>
        <w:rPr>
          <w:rFonts w:hint="eastAsia"/>
          <w:bCs/>
        </w:rPr>
        <w:t>组织有关部门和机构、专业技术人员、专家学者，对金融突发事件信息进行分析评估，预测发生金融突发事件的影响范围和强度及可能发生的事件级别；</w:t>
      </w:r>
    </w:p>
    <w:p>
      <w:pPr>
        <w:snapToGrid w:val="0"/>
        <w:ind w:firstLine="640"/>
        <w:rPr>
          <w:bCs/>
        </w:rPr>
      </w:pPr>
      <w:r>
        <w:rPr>
          <w:rFonts w:hint="eastAsia"/>
          <w:bCs/>
        </w:rPr>
        <w:t>（</w:t>
      </w:r>
      <w:r>
        <w:rPr>
          <w:rFonts w:hint="eastAsia" w:cs="Times New Roman"/>
          <w:bCs/>
        </w:rPr>
        <w:t>3）</w:t>
      </w:r>
      <w:r>
        <w:rPr>
          <w:rFonts w:hint="eastAsia"/>
          <w:bCs/>
        </w:rPr>
        <w:t>准备应急所需设备、工具及资金，并确保其处于良好状态，随时可投入正常使用；</w:t>
      </w:r>
    </w:p>
    <w:p>
      <w:pPr>
        <w:snapToGrid w:val="0"/>
        <w:ind w:firstLine="640"/>
        <w:rPr>
          <w:bCs/>
        </w:rPr>
      </w:pPr>
      <w:r>
        <w:rPr>
          <w:rFonts w:hint="eastAsia"/>
          <w:bCs/>
        </w:rPr>
        <w:t>（4）加强对重点单位和重要基础设施的安全保卫，维护社会治安秩序；转移、疏散或撤离易受金融突发事件危害的人员并予以妥善安置，转移重要财产；</w:t>
      </w:r>
    </w:p>
    <w:p>
      <w:pPr>
        <w:snapToGrid w:val="0"/>
        <w:ind w:firstLine="640"/>
        <w:rPr>
          <w:bCs/>
        </w:rPr>
      </w:pPr>
      <w:r>
        <w:rPr>
          <w:rFonts w:hint="eastAsia"/>
          <w:bCs/>
        </w:rPr>
        <w:t>（5）关闭或限制使用易受金融突发事件危害的交易场所，控制或限制易导致危害扩大的交易场所活动；</w:t>
      </w:r>
    </w:p>
    <w:p>
      <w:pPr>
        <w:snapToGrid w:val="0"/>
        <w:ind w:firstLine="640"/>
        <w:rPr>
          <w:bCs/>
        </w:rPr>
      </w:pPr>
      <w:r>
        <w:rPr>
          <w:rFonts w:hint="eastAsia"/>
          <w:bCs/>
        </w:rPr>
        <w:t>（6）法律、法规、规章规定的其他必要的防范性、保护性措施。</w:t>
      </w:r>
    </w:p>
    <w:p>
      <w:pPr>
        <w:pStyle w:val="2"/>
        <w:ind w:firstLine="640"/>
        <w:rPr>
          <w:rFonts w:hint="default" w:cs="宋体"/>
          <w:b w:val="0"/>
          <w:bCs/>
        </w:rPr>
      </w:pPr>
      <w:bookmarkStart w:id="806" w:name="_Toc17759"/>
      <w:bookmarkStart w:id="807" w:name="_Toc2614"/>
      <w:bookmarkStart w:id="808" w:name="_Toc19503"/>
      <w:bookmarkStart w:id="809" w:name="_Toc14914"/>
      <w:bookmarkStart w:id="810" w:name="_Toc3814"/>
      <w:bookmarkStart w:id="811" w:name="_Toc19095"/>
      <w:bookmarkStart w:id="812" w:name="_Toc15736"/>
      <w:bookmarkStart w:id="813" w:name="_Toc28020"/>
      <w:bookmarkStart w:id="814" w:name="_Toc3379"/>
      <w:bookmarkStart w:id="815" w:name="_Toc3562"/>
      <w:bookmarkStart w:id="816" w:name="_Toc16964"/>
      <w:bookmarkStart w:id="817" w:name="_Toc1913"/>
      <w:bookmarkStart w:id="818" w:name="_Toc6101"/>
      <w:bookmarkStart w:id="819" w:name="_Toc20134"/>
      <w:bookmarkStart w:id="820" w:name="_Toc517"/>
      <w:bookmarkStart w:id="821" w:name="_Toc31801_WPSOffice_Level1"/>
      <w:bookmarkStart w:id="822" w:name="_Toc24366"/>
      <w:bookmarkStart w:id="823" w:name="_Toc2741"/>
      <w:bookmarkStart w:id="824" w:name="_Toc10877"/>
      <w:bookmarkStart w:id="825" w:name="_Toc21196"/>
      <w:bookmarkStart w:id="826" w:name="_Toc3115"/>
      <w:bookmarkStart w:id="827" w:name="_Toc27636"/>
      <w:bookmarkStart w:id="828" w:name="_Toc9897"/>
      <w:bookmarkStart w:id="829" w:name="_Toc31557"/>
      <w:bookmarkStart w:id="830" w:name="_Toc28890"/>
      <w:bookmarkStart w:id="831" w:name="_Toc5129"/>
      <w:bookmarkStart w:id="832" w:name="_Toc8727"/>
      <w:bookmarkStart w:id="833" w:name="_Toc8578"/>
      <w:bookmarkStart w:id="834" w:name="_Toc25115"/>
      <w:bookmarkStart w:id="835" w:name="_Toc9952"/>
      <w:bookmarkStart w:id="836" w:name="_Toc7092"/>
      <w:bookmarkStart w:id="837" w:name="_Toc7559"/>
      <w:bookmarkStart w:id="838" w:name="_Toc2162"/>
      <w:bookmarkStart w:id="839" w:name="_Toc3922"/>
      <w:bookmarkStart w:id="840" w:name="_Toc19203"/>
      <w:bookmarkStart w:id="841" w:name="_Toc11640"/>
      <w:bookmarkStart w:id="842" w:name="_Toc16672"/>
      <w:bookmarkStart w:id="843" w:name="_Toc11799"/>
      <w:bookmarkStart w:id="844" w:name="_Toc32041"/>
      <w:r>
        <w:rPr>
          <w:b w:val="0"/>
          <w:bCs/>
        </w:rPr>
        <w:t>4　金融突发事件的等级</w:t>
      </w:r>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p>
    <w:p>
      <w:pPr>
        <w:pStyle w:val="3"/>
        <w:snapToGrid w:val="0"/>
        <w:spacing w:line="560" w:lineRule="exact"/>
        <w:ind w:firstLine="643"/>
        <w:rPr>
          <w:bCs w:val="0"/>
        </w:rPr>
      </w:pPr>
      <w:bookmarkStart w:id="845" w:name="_Toc27010"/>
      <w:bookmarkStart w:id="846" w:name="_Toc7668"/>
      <w:bookmarkStart w:id="847" w:name="_Toc12860"/>
      <w:bookmarkStart w:id="848" w:name="_Toc13777"/>
      <w:bookmarkStart w:id="849" w:name="_Toc2461"/>
      <w:bookmarkStart w:id="850" w:name="_Toc9189"/>
      <w:bookmarkStart w:id="851" w:name="_Toc11620"/>
      <w:bookmarkStart w:id="852" w:name="_Toc12304"/>
      <w:bookmarkStart w:id="853" w:name="_Toc32542"/>
      <w:bookmarkStart w:id="854" w:name="_Toc29875"/>
      <w:bookmarkStart w:id="855" w:name="_Toc10451"/>
      <w:bookmarkStart w:id="856" w:name="_Toc6213"/>
      <w:bookmarkStart w:id="857" w:name="_Toc24639"/>
      <w:bookmarkStart w:id="858" w:name="_Toc2000"/>
      <w:bookmarkStart w:id="859" w:name="_Toc24633"/>
      <w:bookmarkStart w:id="860" w:name="_Toc5205"/>
      <w:bookmarkStart w:id="861" w:name="_Toc15335"/>
      <w:bookmarkStart w:id="862" w:name="_Toc19856"/>
      <w:bookmarkStart w:id="863" w:name="_Toc3881"/>
      <w:bookmarkStart w:id="864" w:name="_Toc5223"/>
      <w:bookmarkStart w:id="865" w:name="_Toc26620"/>
      <w:bookmarkStart w:id="866" w:name="_Toc25759"/>
      <w:bookmarkStart w:id="867" w:name="_Toc5258"/>
      <w:bookmarkStart w:id="868" w:name="_Toc30158"/>
      <w:bookmarkStart w:id="869" w:name="_Toc25470"/>
      <w:bookmarkStart w:id="870" w:name="_Toc20689"/>
      <w:bookmarkStart w:id="871" w:name="_Toc9821"/>
      <w:bookmarkStart w:id="872" w:name="_Toc31364"/>
      <w:bookmarkStart w:id="873" w:name="_Toc7"/>
      <w:bookmarkStart w:id="874" w:name="_Toc31706_WPSOffice_Level2"/>
      <w:bookmarkStart w:id="875" w:name="_Toc9638"/>
      <w:bookmarkStart w:id="876" w:name="_Toc16361"/>
      <w:bookmarkStart w:id="877" w:name="_Toc19956"/>
      <w:bookmarkStart w:id="878" w:name="_Toc6055"/>
      <w:bookmarkStart w:id="879" w:name="_Toc15176"/>
      <w:bookmarkStart w:id="880" w:name="_Toc28648"/>
      <w:bookmarkStart w:id="881" w:name="_Toc1204"/>
      <w:bookmarkStart w:id="882" w:name="_Toc8440"/>
      <w:bookmarkStart w:id="883" w:name="_Toc12458"/>
      <w:r>
        <w:rPr>
          <w:rFonts w:hint="eastAsia"/>
          <w:bCs w:val="0"/>
        </w:rPr>
        <w:t>4.1　分级原则</w:t>
      </w:r>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p>
    <w:p>
      <w:pPr>
        <w:snapToGrid w:val="0"/>
        <w:ind w:firstLine="643"/>
      </w:pPr>
      <w:r>
        <w:rPr>
          <w:rFonts w:hint="eastAsia" w:ascii="仿宋_GB2312" w:hAnsi="仿宋_GB2312" w:cs="仿宋_GB2312"/>
          <w:b/>
          <w:szCs w:val="32"/>
        </w:rPr>
        <w:t xml:space="preserve">4.1.1 </w:t>
      </w:r>
      <w:r>
        <w:rPr>
          <w:rFonts w:hint="eastAsia"/>
        </w:rPr>
        <w:t xml:space="preserve"> 按照金融突发事件的性质、影响范围和危害程度等情况，划分为特别重大（Ⅰ级）、重大（Ⅱ级）、较大（Ⅲ级）、一般（Ⅳ级）四个等级。</w:t>
      </w:r>
    </w:p>
    <w:p>
      <w:pPr>
        <w:snapToGrid w:val="0"/>
        <w:ind w:firstLine="643"/>
        <w:rPr>
          <w:bCs/>
        </w:rPr>
      </w:pPr>
      <w:r>
        <w:rPr>
          <w:rFonts w:hint="eastAsia" w:ascii="仿宋_GB2312" w:hAnsi="仿宋_GB2312" w:cs="仿宋_GB2312"/>
          <w:b/>
          <w:szCs w:val="32"/>
        </w:rPr>
        <w:t xml:space="preserve">4.1.2 </w:t>
      </w:r>
      <w:r>
        <w:rPr>
          <w:rFonts w:hint="eastAsia"/>
          <w:bCs/>
        </w:rPr>
        <w:t xml:space="preserve"> 当金融突发事件等级指标有交叉、难以判断级别时，按较高一级突发事件响应处理，防止风险扩散；当金融突发事件的等级，随着时间的推移动态有所上升时，按升级后的级别程序处理。</w:t>
      </w:r>
    </w:p>
    <w:p>
      <w:pPr>
        <w:pStyle w:val="3"/>
        <w:snapToGrid w:val="0"/>
        <w:spacing w:line="560" w:lineRule="exact"/>
        <w:ind w:firstLine="643"/>
        <w:rPr>
          <w:bCs w:val="0"/>
        </w:rPr>
      </w:pPr>
      <w:bookmarkStart w:id="884" w:name="_Toc4329"/>
      <w:bookmarkStart w:id="885" w:name="_Toc3406"/>
      <w:bookmarkStart w:id="886" w:name="_Toc29004"/>
      <w:bookmarkStart w:id="887" w:name="_Toc1164"/>
      <w:bookmarkStart w:id="888" w:name="_Toc25669"/>
      <w:bookmarkStart w:id="889" w:name="_Toc26345"/>
      <w:bookmarkStart w:id="890" w:name="_Toc4165"/>
      <w:bookmarkStart w:id="891" w:name="_Toc23446"/>
      <w:bookmarkStart w:id="892" w:name="_Toc4453"/>
      <w:bookmarkStart w:id="893" w:name="_Toc4643"/>
      <w:bookmarkStart w:id="894" w:name="_Toc18313"/>
      <w:bookmarkStart w:id="895" w:name="_Toc6201"/>
      <w:bookmarkStart w:id="896" w:name="_Toc16503"/>
      <w:bookmarkStart w:id="897" w:name="_Toc18536"/>
      <w:bookmarkStart w:id="898" w:name="_Toc5081"/>
      <w:bookmarkStart w:id="899" w:name="_Toc5401"/>
      <w:bookmarkStart w:id="900" w:name="_Toc2281"/>
      <w:bookmarkStart w:id="901" w:name="_Toc14742"/>
      <w:bookmarkStart w:id="902" w:name="_Toc10272"/>
      <w:bookmarkStart w:id="903" w:name="_Toc6469"/>
      <w:bookmarkStart w:id="904" w:name="_Toc13753"/>
      <w:bookmarkStart w:id="905" w:name="_Toc1137"/>
      <w:bookmarkStart w:id="906" w:name="_Toc28156"/>
      <w:bookmarkStart w:id="907" w:name="_Toc19419"/>
      <w:bookmarkStart w:id="908" w:name="_Toc29014"/>
      <w:bookmarkStart w:id="909" w:name="_Toc10226"/>
      <w:bookmarkStart w:id="910" w:name="_Toc15552"/>
      <w:bookmarkStart w:id="911" w:name="_Toc28910"/>
      <w:bookmarkStart w:id="912" w:name="_Toc15694"/>
      <w:bookmarkStart w:id="913" w:name="_Toc3904"/>
      <w:bookmarkStart w:id="914" w:name="_Toc8083"/>
      <w:bookmarkStart w:id="915" w:name="_Toc30588"/>
      <w:bookmarkStart w:id="916" w:name="_Toc26399"/>
      <w:bookmarkStart w:id="917" w:name="_Toc12835"/>
      <w:bookmarkStart w:id="918" w:name="_Toc10136"/>
      <w:bookmarkStart w:id="919" w:name="_Toc12737_WPSOffice_Level2"/>
      <w:bookmarkStart w:id="920" w:name="_Toc28782"/>
      <w:bookmarkStart w:id="921" w:name="_Toc11210"/>
      <w:bookmarkStart w:id="922" w:name="_Toc12387"/>
      <w:r>
        <w:rPr>
          <w:rFonts w:hint="eastAsia"/>
          <w:bCs w:val="0"/>
        </w:rPr>
        <w:t>4.2　Ⅰ级：特别重大金融突发事件</w:t>
      </w:r>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p>
    <w:p>
      <w:pPr>
        <w:snapToGrid w:val="0"/>
        <w:ind w:firstLine="640"/>
        <w:rPr>
          <w:bCs/>
        </w:rPr>
      </w:pPr>
      <w:r>
        <w:rPr>
          <w:rFonts w:hint="eastAsia"/>
          <w:bCs/>
        </w:rPr>
        <w:t>有下列情况之一的，为特别重大突发事件：</w:t>
      </w:r>
    </w:p>
    <w:p>
      <w:pPr>
        <w:snapToGrid w:val="0"/>
        <w:ind w:firstLine="640"/>
        <w:rPr>
          <w:bCs/>
        </w:rPr>
      </w:pPr>
      <w:r>
        <w:rPr>
          <w:rFonts w:hint="eastAsia"/>
          <w:bCs/>
        </w:rPr>
        <w:t>（1）具有全国性影响的金融突发事件；</w:t>
      </w:r>
    </w:p>
    <w:p>
      <w:pPr>
        <w:snapToGrid w:val="0"/>
        <w:ind w:firstLine="640"/>
        <w:rPr>
          <w:bCs/>
        </w:rPr>
      </w:pPr>
      <w:r>
        <w:rPr>
          <w:rFonts w:hint="eastAsia"/>
          <w:bCs/>
        </w:rPr>
        <w:t>（2）金融同业已出现或将出现连锁反应；</w:t>
      </w:r>
    </w:p>
    <w:p>
      <w:pPr>
        <w:snapToGrid w:val="0"/>
        <w:ind w:firstLine="640"/>
        <w:rPr>
          <w:bCs/>
        </w:rPr>
      </w:pPr>
      <w:r>
        <w:rPr>
          <w:rFonts w:hint="eastAsia"/>
          <w:bCs/>
        </w:rPr>
        <w:t>（3）国际上出现的，已影响或极有可能影响国内宏观金融稳定的金融突发事件；</w:t>
      </w:r>
    </w:p>
    <w:p>
      <w:pPr>
        <w:snapToGrid w:val="0"/>
        <w:ind w:firstLine="640"/>
        <w:rPr>
          <w:rFonts w:ascii="宋体" w:hAnsi="宋体" w:eastAsia="宋体" w:cs="宋体"/>
          <w:bCs/>
          <w:szCs w:val="24"/>
        </w:rPr>
      </w:pPr>
      <w:r>
        <w:rPr>
          <w:rFonts w:hint="eastAsia"/>
          <w:bCs/>
        </w:rPr>
        <w:t>（4）其他需按特别重大突发事件应对的金融突发事件。</w:t>
      </w:r>
    </w:p>
    <w:p>
      <w:pPr>
        <w:pStyle w:val="3"/>
        <w:snapToGrid w:val="0"/>
        <w:spacing w:line="560" w:lineRule="exact"/>
        <w:ind w:firstLine="643"/>
        <w:rPr>
          <w:bCs w:val="0"/>
        </w:rPr>
      </w:pPr>
      <w:bookmarkStart w:id="923" w:name="_Toc19584"/>
      <w:bookmarkStart w:id="924" w:name="_Toc25318"/>
      <w:bookmarkStart w:id="925" w:name="_Toc2861"/>
      <w:bookmarkStart w:id="926" w:name="_Toc31201"/>
      <w:bookmarkStart w:id="927" w:name="_Toc30365"/>
      <w:bookmarkStart w:id="928" w:name="_Toc15217"/>
      <w:bookmarkStart w:id="929" w:name="_Toc13567"/>
      <w:bookmarkStart w:id="930" w:name="_Toc21643"/>
      <w:bookmarkStart w:id="931" w:name="_Toc3796"/>
      <w:bookmarkStart w:id="932" w:name="_Toc25945"/>
      <w:bookmarkStart w:id="933" w:name="_Toc23319"/>
      <w:bookmarkStart w:id="934" w:name="_Toc1574"/>
      <w:bookmarkStart w:id="935" w:name="_Toc16593"/>
      <w:bookmarkStart w:id="936" w:name="_Toc3932"/>
      <w:bookmarkStart w:id="937" w:name="_Toc32248"/>
      <w:bookmarkStart w:id="938" w:name="_Toc28605"/>
      <w:bookmarkStart w:id="939" w:name="_Toc28524"/>
      <w:bookmarkStart w:id="940" w:name="_Toc24698"/>
      <w:bookmarkStart w:id="941" w:name="_Toc14869_WPSOffice_Level2"/>
      <w:bookmarkStart w:id="942" w:name="_Toc4916"/>
      <w:bookmarkStart w:id="943" w:name="_Toc8251"/>
      <w:bookmarkStart w:id="944" w:name="_Toc30493"/>
      <w:bookmarkStart w:id="945" w:name="_Toc8850"/>
      <w:bookmarkStart w:id="946" w:name="_Toc13861"/>
      <w:bookmarkStart w:id="947" w:name="_Toc26335"/>
      <w:bookmarkStart w:id="948" w:name="_Toc31028"/>
      <w:bookmarkStart w:id="949" w:name="_Toc4619"/>
      <w:bookmarkStart w:id="950" w:name="_Toc18289"/>
      <w:bookmarkStart w:id="951" w:name="_Toc18474"/>
      <w:bookmarkStart w:id="952" w:name="_Toc21376"/>
      <w:bookmarkStart w:id="953" w:name="_Toc24812"/>
      <w:bookmarkStart w:id="954" w:name="_Toc13835"/>
      <w:bookmarkStart w:id="955" w:name="_Toc22961"/>
      <w:bookmarkStart w:id="956" w:name="_Toc1688"/>
      <w:bookmarkStart w:id="957" w:name="_Toc26108"/>
      <w:bookmarkStart w:id="958" w:name="_Toc15546"/>
      <w:bookmarkStart w:id="959" w:name="_Toc19088"/>
      <w:bookmarkStart w:id="960" w:name="_Toc14054"/>
      <w:bookmarkStart w:id="961" w:name="_Toc9845"/>
      <w:r>
        <w:rPr>
          <w:rFonts w:hint="eastAsia"/>
          <w:bCs w:val="0"/>
        </w:rPr>
        <w:t>4.3　Ⅱ级：重大金融突发事件</w:t>
      </w:r>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p>
    <w:p>
      <w:pPr>
        <w:snapToGrid w:val="0"/>
        <w:ind w:firstLine="640"/>
        <w:rPr>
          <w:bCs/>
        </w:rPr>
      </w:pPr>
      <w:r>
        <w:rPr>
          <w:rFonts w:hint="eastAsia"/>
          <w:bCs/>
        </w:rPr>
        <w:t>有下列情况之一的，为重大突发事件：</w:t>
      </w:r>
    </w:p>
    <w:p>
      <w:pPr>
        <w:snapToGrid w:val="0"/>
        <w:ind w:firstLine="640"/>
        <w:rPr>
          <w:bCs/>
        </w:rPr>
      </w:pPr>
      <w:bookmarkStart w:id="962" w:name="_Toc27913"/>
      <w:bookmarkStart w:id="963" w:name="_Toc11823"/>
      <w:bookmarkStart w:id="964" w:name="_Toc5966"/>
      <w:bookmarkStart w:id="965" w:name="_Toc27725"/>
      <w:bookmarkStart w:id="966" w:name="_Toc15111"/>
      <w:bookmarkStart w:id="967" w:name="_Toc26477"/>
      <w:bookmarkStart w:id="968" w:name="_Toc9065"/>
      <w:bookmarkStart w:id="969" w:name="_Toc1512"/>
      <w:bookmarkStart w:id="970" w:name="_Toc16524"/>
      <w:bookmarkStart w:id="971" w:name="_Toc31508"/>
      <w:bookmarkStart w:id="972" w:name="_Toc25451"/>
      <w:bookmarkStart w:id="973" w:name="_Toc13474"/>
      <w:bookmarkStart w:id="974" w:name="_Toc23770"/>
      <w:bookmarkStart w:id="975" w:name="_Toc4965"/>
      <w:bookmarkStart w:id="976" w:name="_Toc17534"/>
      <w:bookmarkStart w:id="977" w:name="_Toc3655"/>
      <w:bookmarkStart w:id="978" w:name="_Toc14072"/>
      <w:bookmarkStart w:id="979" w:name="_Toc6004"/>
      <w:bookmarkStart w:id="980" w:name="_Toc10044"/>
      <w:bookmarkStart w:id="981" w:name="_Toc22470"/>
      <w:bookmarkStart w:id="982" w:name="_Toc3704"/>
      <w:bookmarkStart w:id="983" w:name="_Toc22487"/>
      <w:bookmarkStart w:id="984" w:name="_Toc21371"/>
      <w:bookmarkStart w:id="985" w:name="_Toc26672"/>
      <w:bookmarkStart w:id="986" w:name="_Toc1765"/>
      <w:bookmarkStart w:id="987" w:name="_Toc692"/>
      <w:bookmarkStart w:id="988" w:name="_Toc31777"/>
      <w:bookmarkStart w:id="989" w:name="_Toc6615"/>
      <w:bookmarkStart w:id="990" w:name="_Toc1343"/>
      <w:bookmarkStart w:id="991" w:name="_Toc10198"/>
      <w:bookmarkStart w:id="992" w:name="_Toc22474"/>
      <w:bookmarkStart w:id="993" w:name="_Toc28059"/>
      <w:bookmarkStart w:id="994" w:name="_Toc3120_WPSOffice_Level2"/>
      <w:bookmarkStart w:id="995" w:name="_Toc32332"/>
      <w:bookmarkStart w:id="996" w:name="_Toc5801"/>
      <w:bookmarkStart w:id="997" w:name="_Toc10140"/>
      <w:bookmarkStart w:id="998" w:name="_Toc415"/>
      <w:bookmarkStart w:id="999" w:name="_Toc31887"/>
      <w:bookmarkStart w:id="1000" w:name="_Toc22870"/>
      <w:r>
        <w:rPr>
          <w:rFonts w:hint="eastAsia"/>
          <w:bCs/>
        </w:rPr>
        <w:t>（1）对包括广州市在内的多个地级市或多个金融行业产生影响，但未造成全省性影响的金融突发事件。</w:t>
      </w:r>
    </w:p>
    <w:p>
      <w:pPr>
        <w:snapToGrid w:val="0"/>
        <w:ind w:firstLine="640"/>
        <w:rPr>
          <w:bCs/>
        </w:rPr>
      </w:pPr>
      <w:r>
        <w:rPr>
          <w:rFonts w:hint="eastAsia"/>
          <w:bCs/>
        </w:rPr>
        <w:t>（2）所涉及广州市或监管部门不能单独应对，需进行跨地级市行政区域或跨单位协调的金融突发事件。</w:t>
      </w:r>
    </w:p>
    <w:p>
      <w:pPr>
        <w:snapToGrid w:val="0"/>
        <w:ind w:firstLine="640"/>
        <w:rPr>
          <w:bCs/>
        </w:rPr>
      </w:pPr>
      <w:r>
        <w:rPr>
          <w:rFonts w:hint="eastAsia"/>
          <w:bCs/>
        </w:rPr>
        <w:t>（3）其他需要按重大突发事件来应对的金融突发事件。</w:t>
      </w:r>
    </w:p>
    <w:p>
      <w:pPr>
        <w:pStyle w:val="3"/>
        <w:snapToGrid w:val="0"/>
        <w:spacing w:line="560" w:lineRule="exact"/>
        <w:ind w:firstLine="643"/>
        <w:rPr>
          <w:bCs w:val="0"/>
        </w:rPr>
      </w:pPr>
      <w:r>
        <w:rPr>
          <w:rFonts w:hint="eastAsia"/>
          <w:bCs w:val="0"/>
        </w:rPr>
        <w:t>4.4　Ⅲ级：较大金融突发事件</w:t>
      </w:r>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p>
    <w:p>
      <w:pPr>
        <w:snapToGrid w:val="0"/>
        <w:ind w:firstLine="640"/>
        <w:rPr>
          <w:bCs/>
        </w:rPr>
      </w:pPr>
      <w:bookmarkStart w:id="1001" w:name="_Toc17523"/>
      <w:bookmarkStart w:id="1002" w:name="_Toc9043"/>
      <w:bookmarkStart w:id="1003" w:name="_Toc25220"/>
      <w:bookmarkStart w:id="1004" w:name="_Toc9274"/>
      <w:bookmarkStart w:id="1005" w:name="_Toc31944"/>
      <w:bookmarkStart w:id="1006" w:name="_Toc21644"/>
      <w:bookmarkStart w:id="1007" w:name="_Toc26130"/>
      <w:bookmarkStart w:id="1008" w:name="_Toc11486"/>
      <w:bookmarkStart w:id="1009" w:name="_Toc5808"/>
      <w:bookmarkStart w:id="1010" w:name="_Toc7324"/>
      <w:bookmarkStart w:id="1011" w:name="_Toc14661"/>
      <w:bookmarkStart w:id="1012" w:name="_Toc22795_WPSOffice_Level2"/>
      <w:bookmarkStart w:id="1013" w:name="_Toc25330"/>
      <w:bookmarkStart w:id="1014" w:name="_Toc13027"/>
      <w:bookmarkStart w:id="1015" w:name="_Toc25003"/>
      <w:bookmarkStart w:id="1016" w:name="_Toc2477"/>
      <w:bookmarkStart w:id="1017" w:name="_Toc8542"/>
      <w:bookmarkStart w:id="1018" w:name="_Toc5556"/>
      <w:bookmarkStart w:id="1019" w:name="_Toc11763"/>
      <w:bookmarkStart w:id="1020" w:name="_Toc25553"/>
      <w:bookmarkStart w:id="1021" w:name="_Toc808"/>
      <w:bookmarkStart w:id="1022" w:name="_Toc15705"/>
      <w:bookmarkStart w:id="1023" w:name="_Toc22562"/>
      <w:bookmarkStart w:id="1024" w:name="_Toc20400"/>
      <w:bookmarkStart w:id="1025" w:name="_Toc20774"/>
      <w:bookmarkStart w:id="1026" w:name="_Toc13359"/>
      <w:bookmarkStart w:id="1027" w:name="_Toc28223"/>
      <w:bookmarkStart w:id="1028" w:name="_Toc16046"/>
      <w:bookmarkStart w:id="1029" w:name="_Toc7472"/>
      <w:bookmarkStart w:id="1030" w:name="_Toc11790"/>
      <w:bookmarkStart w:id="1031" w:name="_Toc7659"/>
      <w:bookmarkStart w:id="1032" w:name="_Toc26274"/>
      <w:bookmarkStart w:id="1033" w:name="_Toc1013"/>
      <w:bookmarkStart w:id="1034" w:name="_Toc18664"/>
      <w:bookmarkStart w:id="1035" w:name="_Toc15587"/>
      <w:bookmarkStart w:id="1036" w:name="_Toc20343"/>
      <w:bookmarkStart w:id="1037" w:name="_Toc29657"/>
      <w:bookmarkStart w:id="1038" w:name="_Toc13948"/>
      <w:bookmarkStart w:id="1039" w:name="_Toc5416"/>
      <w:r>
        <w:rPr>
          <w:rFonts w:hint="eastAsia"/>
          <w:bCs/>
        </w:rPr>
        <w:t>（1）广州市能单独应对，不需要进行跨行政区域协调的金融突发事件。</w:t>
      </w:r>
    </w:p>
    <w:p>
      <w:pPr>
        <w:snapToGrid w:val="0"/>
        <w:ind w:firstLine="640"/>
        <w:rPr>
          <w:bCs/>
        </w:rPr>
      </w:pPr>
      <w:r>
        <w:rPr>
          <w:rFonts w:hint="eastAsia"/>
          <w:bCs/>
        </w:rPr>
        <w:t>（2）所涉及监管部门能单独应对，不需要进行跨单位协调的金融突发事件。</w:t>
      </w:r>
    </w:p>
    <w:p>
      <w:pPr>
        <w:snapToGrid w:val="0"/>
        <w:ind w:firstLine="640"/>
        <w:rPr>
          <w:bCs/>
        </w:rPr>
      </w:pPr>
      <w:r>
        <w:rPr>
          <w:rFonts w:hint="eastAsia"/>
          <w:bCs/>
        </w:rPr>
        <w:t>（3）其他需要按较大突发事件来应对的金融突发事件。</w:t>
      </w:r>
    </w:p>
    <w:p>
      <w:pPr>
        <w:pStyle w:val="3"/>
        <w:snapToGrid w:val="0"/>
        <w:spacing w:line="560" w:lineRule="exact"/>
        <w:ind w:firstLine="643"/>
        <w:rPr>
          <w:bCs w:val="0"/>
        </w:rPr>
      </w:pPr>
      <w:r>
        <w:rPr>
          <w:rFonts w:hint="eastAsia"/>
          <w:bCs w:val="0"/>
        </w:rPr>
        <w:t>4.5　Ⅳ级：一般金融突发事件</w:t>
      </w:r>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p>
    <w:p>
      <w:pPr>
        <w:snapToGrid w:val="0"/>
        <w:ind w:firstLine="640"/>
        <w:rPr>
          <w:bCs/>
        </w:rPr>
      </w:pPr>
      <w:bookmarkStart w:id="1040" w:name="_Toc30325"/>
      <w:bookmarkStart w:id="1041" w:name="_Toc21910"/>
      <w:bookmarkStart w:id="1042" w:name="_Toc29684"/>
      <w:bookmarkStart w:id="1043" w:name="_Toc28753"/>
      <w:bookmarkStart w:id="1044" w:name="_Toc11477"/>
      <w:bookmarkStart w:id="1045" w:name="_Toc23492"/>
      <w:bookmarkStart w:id="1046" w:name="_Toc32001"/>
      <w:bookmarkStart w:id="1047" w:name="_Toc31409"/>
      <w:bookmarkStart w:id="1048" w:name="_Toc8387"/>
      <w:bookmarkStart w:id="1049" w:name="_Toc11165"/>
      <w:bookmarkStart w:id="1050" w:name="_Toc21153"/>
      <w:bookmarkStart w:id="1051" w:name="_Toc18211"/>
      <w:bookmarkStart w:id="1052" w:name="_Toc6992"/>
      <w:bookmarkStart w:id="1053" w:name="_Toc20559"/>
      <w:bookmarkStart w:id="1054" w:name="_Toc22192"/>
      <w:bookmarkStart w:id="1055" w:name="_Toc12530"/>
      <w:bookmarkStart w:id="1056" w:name="_Toc7000"/>
      <w:bookmarkStart w:id="1057" w:name="_Toc6226"/>
      <w:bookmarkStart w:id="1058" w:name="_Toc1868"/>
      <w:bookmarkStart w:id="1059" w:name="_Toc9924"/>
      <w:bookmarkStart w:id="1060" w:name="_Toc8551"/>
      <w:bookmarkStart w:id="1061" w:name="_Toc8794"/>
      <w:bookmarkStart w:id="1062" w:name="_Toc23406"/>
      <w:bookmarkStart w:id="1063" w:name="_Toc6345"/>
      <w:bookmarkStart w:id="1064" w:name="_Toc24545"/>
      <w:bookmarkStart w:id="1065" w:name="_Toc16853"/>
      <w:bookmarkStart w:id="1066" w:name="_Toc23478"/>
      <w:bookmarkStart w:id="1067" w:name="_Toc6910"/>
      <w:bookmarkStart w:id="1068" w:name="_Toc9497"/>
      <w:bookmarkStart w:id="1069" w:name="_Toc3853"/>
      <w:bookmarkStart w:id="1070" w:name="_Toc32664"/>
      <w:bookmarkStart w:id="1071" w:name="_Toc8668"/>
      <w:bookmarkStart w:id="1072" w:name="_Toc27475"/>
      <w:bookmarkStart w:id="1073" w:name="_Toc11098"/>
      <w:bookmarkStart w:id="1074" w:name="_Toc21841_WPSOffice_Level1"/>
      <w:bookmarkStart w:id="1075" w:name="_Toc8888"/>
      <w:bookmarkStart w:id="1076" w:name="_Toc10768"/>
      <w:bookmarkStart w:id="1077" w:name="_Toc3191"/>
      <w:bookmarkStart w:id="1078" w:name="_Toc21561"/>
      <w:r>
        <w:rPr>
          <w:rFonts w:hint="eastAsia"/>
          <w:bCs/>
        </w:rPr>
        <w:t>（1）所涉及区政府能单独应对，不需要进行跨区协调的金融突发事件。</w:t>
      </w:r>
    </w:p>
    <w:p>
      <w:pPr>
        <w:snapToGrid w:val="0"/>
        <w:ind w:firstLine="640"/>
        <w:rPr>
          <w:bCs/>
        </w:rPr>
      </w:pPr>
      <w:r>
        <w:rPr>
          <w:rFonts w:hint="eastAsia"/>
          <w:bCs/>
        </w:rPr>
        <w:t>（2）其他需要按一般突发事件来应对的金融突发事件。</w:t>
      </w:r>
    </w:p>
    <w:p>
      <w:pPr>
        <w:pStyle w:val="2"/>
        <w:ind w:firstLine="640"/>
        <w:rPr>
          <w:rFonts w:hint="default"/>
          <w:b w:val="0"/>
          <w:bCs/>
        </w:rPr>
      </w:pPr>
      <w:r>
        <w:rPr>
          <w:b w:val="0"/>
          <w:bCs/>
        </w:rPr>
        <w:t>5　应急处置程序</w:t>
      </w:r>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p>
    <w:p>
      <w:pPr>
        <w:pStyle w:val="3"/>
        <w:snapToGrid w:val="0"/>
        <w:spacing w:line="560" w:lineRule="exact"/>
        <w:ind w:firstLine="643"/>
        <w:rPr>
          <w:bCs w:val="0"/>
        </w:rPr>
      </w:pPr>
      <w:bookmarkStart w:id="1079" w:name="_Toc9429"/>
      <w:bookmarkStart w:id="1080" w:name="_Toc23555"/>
      <w:bookmarkStart w:id="1081" w:name="_Toc8525"/>
      <w:bookmarkStart w:id="1082" w:name="_Toc3055"/>
      <w:bookmarkStart w:id="1083" w:name="_Toc5962"/>
      <w:bookmarkStart w:id="1084" w:name="_Toc32039"/>
      <w:bookmarkStart w:id="1085" w:name="_Toc11196"/>
      <w:bookmarkStart w:id="1086" w:name="_Toc32125"/>
      <w:bookmarkStart w:id="1087" w:name="_Toc22269"/>
      <w:bookmarkStart w:id="1088" w:name="_Toc27099"/>
      <w:bookmarkStart w:id="1089" w:name="_Toc1784"/>
      <w:bookmarkStart w:id="1090" w:name="_Toc4825"/>
      <w:bookmarkStart w:id="1091" w:name="_Toc5984"/>
      <w:bookmarkStart w:id="1092" w:name="_Toc11588"/>
      <w:bookmarkStart w:id="1093" w:name="_Toc25030"/>
      <w:bookmarkStart w:id="1094" w:name="_Toc21741"/>
      <w:bookmarkStart w:id="1095" w:name="_Toc26855"/>
      <w:bookmarkStart w:id="1096" w:name="_Toc11971"/>
      <w:bookmarkStart w:id="1097" w:name="_Toc10426"/>
      <w:bookmarkStart w:id="1098" w:name="_Toc836"/>
      <w:bookmarkStart w:id="1099" w:name="_Toc14210"/>
      <w:bookmarkStart w:id="1100" w:name="_Toc26258"/>
      <w:bookmarkStart w:id="1101" w:name="_Toc12596"/>
      <w:bookmarkStart w:id="1102" w:name="_Toc23459_WPSOffice_Level2"/>
      <w:bookmarkStart w:id="1103" w:name="_Toc22571"/>
      <w:bookmarkStart w:id="1104" w:name="_Toc7563"/>
      <w:bookmarkStart w:id="1105" w:name="_Toc14250"/>
      <w:bookmarkStart w:id="1106" w:name="_Toc29941"/>
      <w:bookmarkStart w:id="1107" w:name="_Toc12863"/>
      <w:bookmarkStart w:id="1108" w:name="_Toc12374"/>
      <w:bookmarkStart w:id="1109" w:name="_Toc5991"/>
      <w:bookmarkStart w:id="1110" w:name="_Toc2941"/>
      <w:bookmarkStart w:id="1111" w:name="_Toc32462"/>
      <w:bookmarkStart w:id="1112" w:name="_Toc16943"/>
      <w:bookmarkStart w:id="1113" w:name="_Toc14982"/>
      <w:bookmarkStart w:id="1114" w:name="_Toc17256"/>
      <w:bookmarkStart w:id="1115" w:name="_Toc25654"/>
      <w:bookmarkStart w:id="1116" w:name="_Toc2028"/>
      <w:bookmarkStart w:id="1117" w:name="_Toc8254"/>
      <w:r>
        <w:rPr>
          <w:rFonts w:hint="eastAsia"/>
          <w:bCs w:val="0"/>
        </w:rPr>
        <w:t>5.1　情况报告</w:t>
      </w:r>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p>
    <w:p>
      <w:pPr>
        <w:snapToGrid w:val="0"/>
        <w:ind w:firstLine="640"/>
        <w:rPr>
          <w:bCs/>
        </w:rPr>
      </w:pPr>
      <w:r>
        <w:rPr>
          <w:rFonts w:hint="eastAsia"/>
          <w:bCs/>
        </w:rPr>
        <w:t>信息报告贯穿金融突发事件的预防与应急准备、监测与预警、应急处置与救援、事后恢复与善后等应对工作全过程。</w:t>
      </w:r>
    </w:p>
    <w:p>
      <w:pPr>
        <w:pStyle w:val="5"/>
        <w:snapToGrid w:val="0"/>
        <w:ind w:firstLine="643"/>
        <w:rPr>
          <w:rFonts w:hint="default" w:ascii="仿宋_GB2312" w:hAnsi="仿宋_GB2312" w:cs="仿宋_GB2312"/>
          <w:szCs w:val="32"/>
        </w:rPr>
      </w:pPr>
      <w:bookmarkStart w:id="1118" w:name="_Toc11321"/>
      <w:bookmarkStart w:id="1119" w:name="_Toc706"/>
      <w:bookmarkStart w:id="1120" w:name="_Toc2138"/>
      <w:bookmarkStart w:id="1121" w:name="_Toc32497"/>
      <w:bookmarkStart w:id="1122" w:name="_Toc1647"/>
      <w:bookmarkStart w:id="1123" w:name="_Toc31753"/>
      <w:bookmarkStart w:id="1124" w:name="_Toc3936"/>
      <w:bookmarkStart w:id="1125" w:name="_Toc9986"/>
      <w:bookmarkStart w:id="1126" w:name="_Toc29508"/>
      <w:bookmarkStart w:id="1127" w:name="_Toc7299"/>
      <w:bookmarkStart w:id="1128" w:name="_Toc23272"/>
      <w:bookmarkStart w:id="1129" w:name="_Toc7421"/>
      <w:bookmarkStart w:id="1130" w:name="_Toc27789"/>
      <w:bookmarkStart w:id="1131" w:name="_Toc23659"/>
      <w:bookmarkStart w:id="1132" w:name="_Toc9872"/>
      <w:bookmarkStart w:id="1133" w:name="_Toc19300"/>
      <w:bookmarkStart w:id="1134" w:name="_Toc4355"/>
      <w:bookmarkStart w:id="1135" w:name="_Toc11600"/>
      <w:bookmarkStart w:id="1136" w:name="_Toc27618"/>
      <w:bookmarkStart w:id="1137" w:name="_Toc8560"/>
      <w:bookmarkStart w:id="1138" w:name="_Toc18109"/>
      <w:bookmarkStart w:id="1139" w:name="_Toc17040"/>
      <w:bookmarkStart w:id="1140" w:name="_Toc11271"/>
      <w:bookmarkStart w:id="1141" w:name="_Toc10069"/>
      <w:bookmarkStart w:id="1142" w:name="_Toc4081"/>
      <w:bookmarkStart w:id="1143" w:name="_Toc11095"/>
      <w:bookmarkStart w:id="1144" w:name="_Toc22850"/>
      <w:bookmarkStart w:id="1145" w:name="_Toc32019"/>
      <w:bookmarkStart w:id="1146" w:name="_Toc5045"/>
      <w:bookmarkStart w:id="1147" w:name="_Toc22046"/>
      <w:bookmarkStart w:id="1148" w:name="_Toc28980"/>
      <w:bookmarkStart w:id="1149" w:name="_Toc2359"/>
      <w:bookmarkStart w:id="1150" w:name="_Toc24401"/>
      <w:bookmarkStart w:id="1151" w:name="_Toc336"/>
      <w:bookmarkStart w:id="1152" w:name="_Toc13651"/>
      <w:bookmarkStart w:id="1153" w:name="_Toc11928"/>
      <w:r>
        <w:rPr>
          <w:rFonts w:ascii="仿宋_GB2312" w:hAnsi="仿宋_GB2312" w:cs="仿宋_GB2312"/>
          <w:szCs w:val="32"/>
        </w:rPr>
        <w:t>5.1.1  基本原则</w:t>
      </w:r>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p>
    <w:p>
      <w:pPr>
        <w:snapToGrid w:val="0"/>
        <w:ind w:firstLine="640"/>
        <w:rPr>
          <w:bCs/>
        </w:rPr>
      </w:pPr>
      <w:r>
        <w:rPr>
          <w:rFonts w:hint="eastAsia"/>
          <w:bCs/>
        </w:rPr>
        <w:t>（1）迅速：最先接到发生金融突发事件信息的单位，按有关规定迅速及时报告。</w:t>
      </w:r>
    </w:p>
    <w:p>
      <w:pPr>
        <w:snapToGrid w:val="0"/>
        <w:ind w:firstLine="640"/>
        <w:rPr>
          <w:bCs/>
        </w:rPr>
      </w:pPr>
      <w:r>
        <w:rPr>
          <w:rFonts w:hint="eastAsia"/>
          <w:bCs/>
        </w:rPr>
        <w:t>（2）准确：报告内容客观真实。</w:t>
      </w:r>
    </w:p>
    <w:p>
      <w:pPr>
        <w:snapToGrid w:val="0"/>
        <w:ind w:firstLine="640"/>
        <w:rPr>
          <w:bCs/>
        </w:rPr>
      </w:pPr>
      <w:r>
        <w:rPr>
          <w:rFonts w:hint="eastAsia"/>
          <w:bCs/>
        </w:rPr>
        <w:t>（3）规范：报告内容规范。</w:t>
      </w:r>
    </w:p>
    <w:p>
      <w:pPr>
        <w:snapToGrid w:val="0"/>
        <w:ind w:firstLine="640"/>
        <w:rPr>
          <w:bCs/>
        </w:rPr>
      </w:pPr>
      <w:r>
        <w:rPr>
          <w:rFonts w:hint="eastAsia"/>
          <w:bCs/>
        </w:rPr>
        <w:t>（4）连续：根据事态的发展连续报告。</w:t>
      </w:r>
    </w:p>
    <w:p>
      <w:pPr>
        <w:pStyle w:val="5"/>
        <w:snapToGrid w:val="0"/>
        <w:ind w:firstLine="643"/>
        <w:rPr>
          <w:rFonts w:hint="default" w:ascii="仿宋_GB2312" w:hAnsi="仿宋_GB2312" w:cs="仿宋_GB2312"/>
          <w:color w:val="FF0000"/>
          <w:szCs w:val="32"/>
        </w:rPr>
      </w:pPr>
      <w:bookmarkStart w:id="1154" w:name="_Toc25408"/>
      <w:bookmarkStart w:id="1155" w:name="_Toc7702"/>
      <w:bookmarkStart w:id="1156" w:name="_Toc23712"/>
      <w:bookmarkStart w:id="1157" w:name="_Toc12450"/>
      <w:bookmarkStart w:id="1158" w:name="_Toc28673"/>
      <w:bookmarkStart w:id="1159" w:name="_Toc20431"/>
      <w:bookmarkStart w:id="1160" w:name="_Toc3566"/>
      <w:bookmarkStart w:id="1161" w:name="_Toc18809"/>
      <w:bookmarkStart w:id="1162" w:name="_Toc1030"/>
      <w:bookmarkStart w:id="1163" w:name="_Toc17562"/>
      <w:bookmarkStart w:id="1164" w:name="_Toc4495"/>
      <w:bookmarkStart w:id="1165" w:name="_Toc17498"/>
      <w:bookmarkStart w:id="1166" w:name="_Toc31147"/>
      <w:bookmarkStart w:id="1167" w:name="_Toc5248"/>
      <w:bookmarkStart w:id="1168" w:name="_Toc4264"/>
      <w:bookmarkStart w:id="1169" w:name="_Toc29827"/>
      <w:bookmarkStart w:id="1170" w:name="_Toc789"/>
      <w:bookmarkStart w:id="1171" w:name="_Toc1561"/>
      <w:bookmarkStart w:id="1172" w:name="_Toc8199"/>
      <w:bookmarkStart w:id="1173" w:name="_Toc12536"/>
      <w:bookmarkStart w:id="1174" w:name="_Toc11262"/>
      <w:bookmarkStart w:id="1175" w:name="_Toc3237"/>
      <w:bookmarkStart w:id="1176" w:name="_Toc13512"/>
      <w:bookmarkStart w:id="1177" w:name="_Toc30084"/>
      <w:bookmarkStart w:id="1178" w:name="_Toc30306"/>
      <w:bookmarkStart w:id="1179" w:name="_Toc10200"/>
      <w:bookmarkStart w:id="1180" w:name="_Toc25168"/>
      <w:bookmarkStart w:id="1181" w:name="_Toc27533"/>
      <w:bookmarkStart w:id="1182" w:name="_Toc3305"/>
      <w:bookmarkStart w:id="1183" w:name="_Toc15316"/>
      <w:bookmarkStart w:id="1184" w:name="_Toc10335"/>
      <w:bookmarkStart w:id="1185" w:name="_Toc14191"/>
      <w:bookmarkStart w:id="1186" w:name="_Toc23518"/>
      <w:bookmarkStart w:id="1187" w:name="_Toc31426"/>
      <w:bookmarkStart w:id="1188" w:name="_Toc5831"/>
      <w:bookmarkStart w:id="1189" w:name="_Toc68"/>
      <w:r>
        <w:rPr>
          <w:rFonts w:ascii="仿宋_GB2312" w:hAnsi="仿宋_GB2312" w:cs="仿宋_GB2312"/>
          <w:szCs w:val="32"/>
        </w:rPr>
        <w:t>5.1.2  报告程序</w:t>
      </w:r>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p>
    <w:p>
      <w:pPr>
        <w:pStyle w:val="16"/>
        <w:widowControl/>
        <w:spacing w:beforeAutospacing="0" w:afterAutospacing="0" w:line="480" w:lineRule="auto"/>
        <w:ind w:firstLine="640"/>
        <w:rPr>
          <w:rFonts w:cstheme="minorBidi"/>
          <w:bCs/>
          <w:kern w:val="2"/>
          <w:sz w:val="32"/>
        </w:rPr>
      </w:pPr>
      <w:r>
        <w:rPr>
          <w:rFonts w:hint="eastAsia" w:cstheme="minorBidi"/>
          <w:bCs/>
          <w:kern w:val="2"/>
          <w:sz w:val="32"/>
        </w:rPr>
        <w:t>（1）金融突发事件发生后，事发单位应立即向其上级主管部门、金融管理（监管）部门报告，同时报所在区政府。</w:t>
      </w:r>
    </w:p>
    <w:p>
      <w:pPr>
        <w:pStyle w:val="16"/>
        <w:widowControl/>
        <w:spacing w:beforeAutospacing="0" w:afterAutospacing="0" w:line="480" w:lineRule="auto"/>
        <w:ind w:firstLine="640"/>
        <w:rPr>
          <w:rFonts w:cstheme="minorBidi"/>
          <w:bCs/>
          <w:kern w:val="2"/>
          <w:sz w:val="32"/>
        </w:rPr>
      </w:pPr>
      <w:r>
        <w:rPr>
          <w:rFonts w:hint="eastAsia" w:cstheme="minorBidi"/>
          <w:bCs/>
          <w:kern w:val="2"/>
          <w:sz w:val="32"/>
        </w:rPr>
        <w:t>（2）各金融管理（监管）部门、事发地区政府在汇总分析各部门情况报告的基础上，对事件性质及严重程度作出研判，</w:t>
      </w:r>
      <w:r>
        <w:rPr>
          <w:rFonts w:hint="eastAsia"/>
          <w:bCs/>
          <w:kern w:val="2"/>
          <w:sz w:val="32"/>
        </w:rPr>
        <w:t>特别重大、重大突发事件，要在事发后15分钟内电话报告、30分钟内书面报告；较大突发事件，要在事发后1小时内书面报告；一般突发事件，要在事发后2小时内书面报告；敏感信息和暂时无法判明等级的突发事件，按照“就高不就低”的原则边核实边报告。</w:t>
      </w:r>
      <w:r>
        <w:rPr>
          <w:rFonts w:hint="eastAsia" w:cstheme="minorBidi"/>
          <w:bCs/>
          <w:kern w:val="2"/>
          <w:sz w:val="32"/>
        </w:rPr>
        <w:t>紧急信息边处置、边核实、边持续报告。</w:t>
      </w:r>
    </w:p>
    <w:p>
      <w:pPr>
        <w:pStyle w:val="16"/>
        <w:widowControl/>
        <w:spacing w:beforeAutospacing="0" w:afterAutospacing="0" w:line="480" w:lineRule="auto"/>
        <w:ind w:firstLine="640"/>
        <w:rPr>
          <w:rFonts w:cstheme="minorBidi"/>
          <w:bCs/>
          <w:kern w:val="2"/>
          <w:sz w:val="32"/>
        </w:rPr>
      </w:pPr>
      <w:r>
        <w:rPr>
          <w:rFonts w:hint="eastAsia" w:cstheme="minorBidi"/>
          <w:bCs/>
          <w:kern w:val="2"/>
          <w:sz w:val="32"/>
        </w:rPr>
        <w:t>（3）较大及以上金融突发事件发生后，由应急指挥部按有关规定报省政府并抄报国家、省有关职能部门。</w:t>
      </w:r>
    </w:p>
    <w:p>
      <w:pPr>
        <w:snapToGrid w:val="0"/>
        <w:ind w:firstLine="640"/>
        <w:rPr>
          <w:bCs/>
        </w:rPr>
      </w:pPr>
      <w:r>
        <w:rPr>
          <w:rFonts w:hint="eastAsia"/>
          <w:bCs/>
        </w:rPr>
        <w:t>（4）对于事件本身比较重要或发生在重点地区、特殊时期，或可能演化为特别重大金融突发事件的信息，应急指挥部办公室立即口头报告给</w:t>
      </w:r>
      <w:r>
        <w:rPr>
          <w:rFonts w:hint="eastAsia"/>
        </w:rPr>
        <w:t>省金融突发事件应急指挥部办公室</w:t>
      </w:r>
      <w:r>
        <w:rPr>
          <w:rFonts w:hint="eastAsia"/>
          <w:bCs/>
        </w:rPr>
        <w:t>，市委、市政府值班室。</w:t>
      </w:r>
    </w:p>
    <w:p>
      <w:pPr>
        <w:snapToGrid w:val="0"/>
        <w:ind w:firstLine="640"/>
        <w:rPr>
          <w:bCs/>
        </w:rPr>
      </w:pPr>
      <w:r>
        <w:rPr>
          <w:rFonts w:hint="eastAsia"/>
          <w:bCs/>
        </w:rPr>
        <w:t>对于涉及港澳驻穗机构、港澳台人员，外国在穗机构、人员或市属驻外（港澳）派出机构、赴外（港澳）人员的事件，同时通报市港澳办、市台办、市外办。</w:t>
      </w:r>
    </w:p>
    <w:p>
      <w:pPr>
        <w:numPr>
          <w:ilvl w:val="0"/>
          <w:numId w:val="1"/>
        </w:numPr>
        <w:snapToGrid w:val="0"/>
        <w:ind w:firstLine="640"/>
        <w:rPr>
          <w:bCs/>
        </w:rPr>
      </w:pPr>
      <w:r>
        <w:rPr>
          <w:rFonts w:hint="eastAsia"/>
          <w:bCs/>
        </w:rPr>
        <w:t>对于暂时无法判明等级的金融突发事件，金融管理（监管）部门和属地政府应迅速核实，同时根据事件可能达到或演化的级别和影响程度，参照上述规定上报，并做好信息续报工作。</w:t>
      </w:r>
    </w:p>
    <w:p>
      <w:pPr>
        <w:pStyle w:val="5"/>
        <w:snapToGrid w:val="0"/>
        <w:ind w:firstLine="643"/>
        <w:rPr>
          <w:rFonts w:hint="default" w:ascii="仿宋_GB2312" w:hAnsi="仿宋_GB2312" w:cs="仿宋_GB2312"/>
          <w:color w:val="FF0000"/>
          <w:szCs w:val="32"/>
        </w:rPr>
      </w:pPr>
      <w:bookmarkStart w:id="1190" w:name="_Toc22316"/>
      <w:bookmarkStart w:id="1191" w:name="_Toc17020"/>
      <w:bookmarkStart w:id="1192" w:name="_Toc6921"/>
      <w:bookmarkStart w:id="1193" w:name="_Toc30887"/>
      <w:bookmarkStart w:id="1194" w:name="_Toc21092"/>
      <w:bookmarkStart w:id="1195" w:name="_Toc1171"/>
      <w:bookmarkStart w:id="1196" w:name="_Toc24298"/>
      <w:bookmarkStart w:id="1197" w:name="_Toc28070"/>
      <w:bookmarkStart w:id="1198" w:name="_Toc3817"/>
      <w:bookmarkStart w:id="1199" w:name="_Toc24076"/>
      <w:bookmarkStart w:id="1200" w:name="_Toc32690"/>
      <w:bookmarkStart w:id="1201" w:name="_Toc3230"/>
      <w:bookmarkStart w:id="1202" w:name="_Toc10867"/>
      <w:bookmarkStart w:id="1203" w:name="_Toc3565"/>
      <w:bookmarkStart w:id="1204" w:name="_Toc27100"/>
      <w:bookmarkStart w:id="1205" w:name="_Toc31322"/>
      <w:bookmarkStart w:id="1206" w:name="_Toc20218"/>
      <w:bookmarkStart w:id="1207" w:name="_Toc16219"/>
      <w:bookmarkStart w:id="1208" w:name="_Toc26288"/>
      <w:bookmarkStart w:id="1209" w:name="_Toc15702"/>
      <w:bookmarkStart w:id="1210" w:name="_Toc11878"/>
      <w:bookmarkStart w:id="1211" w:name="_Toc23359"/>
      <w:bookmarkStart w:id="1212" w:name="_Toc2504"/>
      <w:bookmarkStart w:id="1213" w:name="_Toc2777"/>
      <w:bookmarkStart w:id="1214" w:name="_Toc18250"/>
      <w:bookmarkStart w:id="1215" w:name="_Toc4759"/>
      <w:bookmarkStart w:id="1216" w:name="_Toc31390"/>
      <w:bookmarkStart w:id="1217" w:name="_Toc11991"/>
      <w:bookmarkStart w:id="1218" w:name="_Toc25383"/>
      <w:bookmarkStart w:id="1219" w:name="_Toc23438"/>
      <w:bookmarkStart w:id="1220" w:name="_Toc18214"/>
      <w:bookmarkStart w:id="1221" w:name="_Toc21136"/>
      <w:bookmarkStart w:id="1222" w:name="_Toc15978"/>
      <w:bookmarkStart w:id="1223" w:name="_Toc18421"/>
      <w:bookmarkStart w:id="1224" w:name="_Toc22301"/>
      <w:bookmarkStart w:id="1225" w:name="_Toc3223"/>
      <w:r>
        <w:rPr>
          <w:rFonts w:ascii="仿宋_GB2312" w:hAnsi="仿宋_GB2312" w:cs="仿宋_GB2312"/>
          <w:szCs w:val="32"/>
        </w:rPr>
        <w:t>5.1.3  报告内容</w:t>
      </w:r>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p>
    <w:p>
      <w:pPr>
        <w:snapToGrid w:val="0"/>
        <w:ind w:firstLine="640"/>
        <w:rPr>
          <w:bCs/>
        </w:rPr>
      </w:pPr>
      <w:r>
        <w:rPr>
          <w:rFonts w:hint="eastAsia"/>
          <w:bCs/>
        </w:rPr>
        <w:t>（1）发生金融突发事件的机构名称、地点。</w:t>
      </w:r>
    </w:p>
    <w:p>
      <w:pPr>
        <w:pStyle w:val="16"/>
        <w:widowControl/>
        <w:spacing w:beforeAutospacing="0" w:afterAutospacing="0" w:line="480" w:lineRule="auto"/>
        <w:ind w:firstLine="640"/>
        <w:rPr>
          <w:bCs/>
        </w:rPr>
      </w:pPr>
      <w:r>
        <w:rPr>
          <w:rFonts w:hint="eastAsia" w:cstheme="minorBidi"/>
          <w:bCs/>
          <w:kern w:val="2"/>
          <w:sz w:val="32"/>
        </w:rPr>
        <w:t>（2）金融突发事件时间、经过、原因、性质、危害程度、可能涉及的金额及人数、影响范围以及事件发生后的金融安全及社会稳定情况。</w:t>
      </w:r>
    </w:p>
    <w:p>
      <w:pPr>
        <w:snapToGrid w:val="0"/>
        <w:ind w:firstLine="640"/>
        <w:rPr>
          <w:bCs/>
        </w:rPr>
      </w:pPr>
      <w:r>
        <w:rPr>
          <w:rFonts w:hint="eastAsia"/>
          <w:bCs/>
        </w:rPr>
        <w:t>（3）金融突发事件的发展趋势、可能造成的损失、已采取的应对措施及拟采取的应对措施。</w:t>
      </w:r>
    </w:p>
    <w:p>
      <w:pPr>
        <w:snapToGrid w:val="0"/>
        <w:ind w:firstLine="640"/>
        <w:rPr>
          <w:bCs/>
        </w:rPr>
      </w:pPr>
      <w:r>
        <w:rPr>
          <w:rFonts w:hint="eastAsia"/>
          <w:bCs/>
        </w:rPr>
        <w:t>（4）其他与金融突发事件相关的内容。</w:t>
      </w:r>
    </w:p>
    <w:p>
      <w:pPr>
        <w:pStyle w:val="3"/>
        <w:snapToGrid w:val="0"/>
        <w:spacing w:line="560" w:lineRule="exact"/>
        <w:ind w:firstLine="643"/>
        <w:rPr>
          <w:bCs w:val="0"/>
        </w:rPr>
      </w:pPr>
      <w:bookmarkStart w:id="1226" w:name="_Toc25211"/>
      <w:bookmarkStart w:id="1227" w:name="_Toc32762"/>
      <w:bookmarkStart w:id="1228" w:name="_Toc25953"/>
      <w:bookmarkStart w:id="1229" w:name="_Toc10337"/>
      <w:bookmarkStart w:id="1230" w:name="_Toc20649"/>
      <w:bookmarkStart w:id="1231" w:name="_Toc24105"/>
      <w:bookmarkStart w:id="1232" w:name="_Toc4936"/>
      <w:bookmarkStart w:id="1233" w:name="_Toc9631"/>
      <w:bookmarkStart w:id="1234" w:name="_Toc6815"/>
      <w:bookmarkStart w:id="1235" w:name="_Toc3683"/>
      <w:bookmarkStart w:id="1236" w:name="_Toc21091"/>
      <w:bookmarkStart w:id="1237" w:name="_Toc23018"/>
      <w:bookmarkStart w:id="1238" w:name="_Toc17354"/>
      <w:bookmarkStart w:id="1239" w:name="_Toc21694"/>
      <w:bookmarkStart w:id="1240" w:name="_Toc6704"/>
      <w:bookmarkStart w:id="1241" w:name="_Toc31008"/>
      <w:bookmarkStart w:id="1242" w:name="_Toc3207"/>
      <w:bookmarkStart w:id="1243" w:name="_Toc31019"/>
      <w:bookmarkStart w:id="1244" w:name="_Toc7735"/>
      <w:bookmarkStart w:id="1245" w:name="_Toc3252"/>
      <w:bookmarkStart w:id="1246" w:name="_Toc15525"/>
      <w:bookmarkStart w:id="1247" w:name="_Toc26595"/>
      <w:bookmarkStart w:id="1248" w:name="_Toc4771"/>
      <w:bookmarkStart w:id="1249" w:name="_Toc10176"/>
      <w:bookmarkStart w:id="1250" w:name="_Toc6663"/>
      <w:bookmarkStart w:id="1251" w:name="_Toc6582"/>
      <w:bookmarkStart w:id="1252" w:name="_Toc31035"/>
      <w:bookmarkStart w:id="1253" w:name="_Toc6955"/>
      <w:bookmarkStart w:id="1254" w:name="_Toc31283"/>
      <w:bookmarkStart w:id="1255" w:name="_Toc16466_WPSOffice_Level2"/>
      <w:bookmarkStart w:id="1256" w:name="_Toc4818"/>
      <w:bookmarkStart w:id="1257" w:name="_Toc23264"/>
      <w:bookmarkStart w:id="1258" w:name="_Toc21531"/>
      <w:bookmarkStart w:id="1259" w:name="_Toc19697"/>
      <w:bookmarkStart w:id="1260" w:name="_Toc16127"/>
      <w:bookmarkStart w:id="1261" w:name="_Toc20973"/>
      <w:bookmarkStart w:id="1262" w:name="_Toc8611"/>
      <w:bookmarkStart w:id="1263" w:name="_Toc9904"/>
      <w:bookmarkStart w:id="1264" w:name="_Toc29799"/>
      <w:r>
        <w:rPr>
          <w:rFonts w:hint="eastAsia"/>
          <w:bCs w:val="0"/>
        </w:rPr>
        <w:t>5.2　先期处置</w:t>
      </w:r>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p>
    <w:p>
      <w:pPr>
        <w:snapToGrid w:val="0"/>
        <w:ind w:firstLine="643"/>
        <w:rPr>
          <w:rFonts w:ascii="仿宋_GB2312" w:hAnsi="仿宋_GB2312" w:cs="仿宋_GB2312"/>
          <w:bCs/>
        </w:rPr>
      </w:pPr>
      <w:r>
        <w:rPr>
          <w:rFonts w:hint="eastAsia" w:ascii="仿宋_GB2312" w:hAnsi="仿宋_GB2312" w:cs="仿宋_GB2312"/>
          <w:b/>
          <w:szCs w:val="32"/>
        </w:rPr>
        <w:t>5.2.1</w:t>
      </w:r>
      <w:r>
        <w:rPr>
          <w:rFonts w:hint="eastAsia" w:ascii="仿宋_GB2312" w:hAnsi="仿宋_GB2312" w:cs="仿宋_GB2312"/>
          <w:bCs/>
        </w:rPr>
        <w:t xml:space="preserve">  事发单位立即采取必要措施，防止危害扩大蔓延。</w:t>
      </w:r>
    </w:p>
    <w:p>
      <w:pPr>
        <w:snapToGrid w:val="0"/>
        <w:ind w:firstLine="643"/>
        <w:rPr>
          <w:rFonts w:ascii="仿宋_GB2312" w:hAnsi="仿宋_GB2312" w:cs="仿宋_GB2312"/>
          <w:bCs/>
        </w:rPr>
      </w:pPr>
      <w:r>
        <w:rPr>
          <w:rFonts w:hint="eastAsia" w:ascii="仿宋_GB2312" w:hAnsi="仿宋_GB2312" w:cs="仿宋_GB2312"/>
          <w:b/>
          <w:szCs w:val="32"/>
        </w:rPr>
        <w:t>5.2.2</w:t>
      </w:r>
      <w:r>
        <w:rPr>
          <w:rFonts w:hint="eastAsia" w:ascii="仿宋_GB2312" w:hAnsi="仿宋_GB2312" w:cs="仿宋_GB2312"/>
          <w:bCs/>
        </w:rPr>
        <w:t xml:space="preserve">  事发单位第一时间向相应上级主管（监管）部门报告，同时向所在地区人民政府报告，上级主管（监管）部门和所在地区人民政府按相关规定应迅速开展前期处置，严防风险无序蔓延。</w:t>
      </w:r>
    </w:p>
    <w:p>
      <w:pPr>
        <w:snapToGrid w:val="0"/>
        <w:ind w:firstLine="643"/>
        <w:rPr>
          <w:rFonts w:ascii="仿宋_GB2312" w:hAnsi="仿宋_GB2312" w:cs="仿宋_GB2312"/>
          <w:bCs/>
        </w:rPr>
      </w:pPr>
      <w:r>
        <w:rPr>
          <w:rFonts w:hint="eastAsia" w:ascii="仿宋_GB2312" w:hAnsi="仿宋_GB2312" w:cs="仿宋_GB2312"/>
          <w:b/>
          <w:szCs w:val="32"/>
        </w:rPr>
        <w:t>5.2.3</w:t>
      </w:r>
      <w:r>
        <w:rPr>
          <w:rFonts w:hint="eastAsia" w:ascii="仿宋_GB2312" w:hAnsi="仿宋_GB2312" w:cs="仿宋_GB2312"/>
          <w:bCs/>
        </w:rPr>
        <w:t xml:space="preserve">  事发单位对因本单位问题引发的或主体是本单位人员的群体性事件，应迅速派出负责人，赴现场开展劝解、疏导等处置工作。</w:t>
      </w:r>
    </w:p>
    <w:p>
      <w:pPr>
        <w:pStyle w:val="3"/>
        <w:snapToGrid w:val="0"/>
        <w:spacing w:line="560" w:lineRule="exact"/>
        <w:ind w:firstLine="643"/>
        <w:rPr>
          <w:bCs w:val="0"/>
        </w:rPr>
      </w:pPr>
      <w:bookmarkStart w:id="1265" w:name="_Toc32550"/>
      <w:bookmarkStart w:id="1266" w:name="_Toc11516"/>
      <w:bookmarkStart w:id="1267" w:name="_Toc5290"/>
      <w:bookmarkStart w:id="1268" w:name="_Toc4251"/>
      <w:bookmarkStart w:id="1269" w:name="_Toc15027"/>
      <w:bookmarkStart w:id="1270" w:name="_Toc25898"/>
      <w:bookmarkStart w:id="1271" w:name="_Toc27463"/>
      <w:bookmarkStart w:id="1272" w:name="_Toc312"/>
      <w:bookmarkStart w:id="1273" w:name="_Toc32040"/>
      <w:bookmarkStart w:id="1274" w:name="_Toc22016"/>
      <w:bookmarkStart w:id="1275" w:name="_Toc2334"/>
      <w:bookmarkStart w:id="1276" w:name="_Toc11036"/>
      <w:bookmarkStart w:id="1277" w:name="_Toc16942"/>
      <w:bookmarkStart w:id="1278" w:name="_Toc15990"/>
      <w:bookmarkStart w:id="1279" w:name="_Toc14386"/>
      <w:bookmarkStart w:id="1280" w:name="_Toc20669"/>
      <w:bookmarkStart w:id="1281" w:name="_Toc28383"/>
      <w:bookmarkStart w:id="1282" w:name="_Toc7134"/>
      <w:bookmarkStart w:id="1283" w:name="_Toc20811"/>
      <w:bookmarkStart w:id="1284" w:name="_Toc29024"/>
      <w:bookmarkStart w:id="1285" w:name="_Toc27439"/>
      <w:bookmarkStart w:id="1286" w:name="_Toc5312"/>
      <w:bookmarkStart w:id="1287" w:name="_Toc18027"/>
      <w:bookmarkStart w:id="1288" w:name="_Toc23485"/>
      <w:bookmarkStart w:id="1289" w:name="_Toc17157"/>
      <w:bookmarkStart w:id="1290" w:name="_Toc2095"/>
      <w:bookmarkStart w:id="1291" w:name="_Toc17240"/>
      <w:bookmarkStart w:id="1292" w:name="_Toc13112"/>
      <w:bookmarkStart w:id="1293" w:name="_Toc16411"/>
      <w:bookmarkStart w:id="1294" w:name="_Toc13186"/>
      <w:bookmarkStart w:id="1295" w:name="_Toc5400_WPSOffice_Level2"/>
      <w:bookmarkStart w:id="1296" w:name="_Toc16001"/>
      <w:bookmarkStart w:id="1297" w:name="_Toc14804"/>
      <w:bookmarkStart w:id="1298" w:name="_Toc31400"/>
      <w:bookmarkStart w:id="1299" w:name="_Toc15526"/>
      <w:bookmarkStart w:id="1300" w:name="_Toc7956"/>
      <w:bookmarkStart w:id="1301" w:name="_Toc7883"/>
      <w:bookmarkStart w:id="1302" w:name="_Toc7775"/>
      <w:bookmarkStart w:id="1303" w:name="_Toc10346"/>
      <w:r>
        <w:rPr>
          <w:rFonts w:hint="eastAsia"/>
          <w:bCs w:val="0"/>
        </w:rPr>
        <w:t>5.3　分级响应</w:t>
      </w:r>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p>
    <w:p>
      <w:pPr>
        <w:pStyle w:val="5"/>
        <w:ind w:firstLine="643"/>
        <w:rPr>
          <w:rFonts w:hint="default"/>
        </w:rPr>
      </w:pPr>
      <w:bookmarkStart w:id="1304" w:name="_Toc9704"/>
      <w:bookmarkStart w:id="1305" w:name="_Toc8351"/>
      <w:bookmarkStart w:id="1306" w:name="_Toc10920"/>
      <w:bookmarkStart w:id="1307" w:name="_Toc27366"/>
      <w:bookmarkStart w:id="1308" w:name="_Toc22163"/>
      <w:bookmarkStart w:id="1309" w:name="_Toc17680"/>
      <w:bookmarkStart w:id="1310" w:name="_Toc30259"/>
      <w:bookmarkStart w:id="1311" w:name="_Toc3530"/>
      <w:bookmarkStart w:id="1312" w:name="_Toc19142"/>
      <w:bookmarkStart w:id="1313" w:name="_Toc19101"/>
      <w:bookmarkStart w:id="1314" w:name="_Toc20683"/>
      <w:bookmarkStart w:id="1315" w:name="_Toc6677"/>
      <w:bookmarkStart w:id="1316" w:name="_Toc6047"/>
      <w:bookmarkStart w:id="1317" w:name="_Toc5552"/>
      <w:bookmarkStart w:id="1318" w:name="_Toc16289"/>
      <w:bookmarkStart w:id="1319" w:name="_Toc18136"/>
      <w:bookmarkStart w:id="1320" w:name="_Toc5366"/>
      <w:bookmarkStart w:id="1321" w:name="_Toc10857"/>
      <w:bookmarkStart w:id="1322" w:name="_Toc21237"/>
      <w:bookmarkStart w:id="1323" w:name="_Toc9572"/>
      <w:bookmarkStart w:id="1324" w:name="_Toc29260"/>
      <w:bookmarkStart w:id="1325" w:name="_Toc30195"/>
      <w:bookmarkStart w:id="1326" w:name="_Toc27919"/>
      <w:bookmarkStart w:id="1327" w:name="_Toc29117"/>
      <w:bookmarkStart w:id="1328" w:name="_Toc2747"/>
      <w:bookmarkStart w:id="1329" w:name="_Toc26283"/>
      <w:bookmarkStart w:id="1330" w:name="_Toc4548"/>
      <w:bookmarkStart w:id="1331" w:name="_Toc6350"/>
      <w:bookmarkStart w:id="1332" w:name="_Toc26551"/>
      <w:bookmarkStart w:id="1333" w:name="_Toc7334"/>
      <w:bookmarkStart w:id="1334" w:name="_Toc10515"/>
      <w:bookmarkStart w:id="1335" w:name="_Toc31816"/>
      <w:bookmarkStart w:id="1336" w:name="_Toc18245"/>
      <w:bookmarkStart w:id="1337" w:name="_Toc18238"/>
      <w:bookmarkStart w:id="1338" w:name="_Toc11285"/>
      <w:bookmarkStart w:id="1339" w:name="_Toc521"/>
      <w:r>
        <w:rPr>
          <w:rFonts w:ascii="仿宋_GB2312" w:hAnsi="仿宋_GB2312" w:cs="仿宋_GB2312"/>
          <w:szCs w:val="32"/>
        </w:rPr>
        <w:t>5.3.1  响应要求</w:t>
      </w:r>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p>
    <w:p>
      <w:pPr>
        <w:snapToGrid w:val="0"/>
        <w:ind w:firstLine="640"/>
        <w:rPr>
          <w:rFonts w:ascii="仿宋_GB2312" w:hAnsi="仿宋_GB2312" w:cs="仿宋_GB2312"/>
          <w:bCs/>
        </w:rPr>
      </w:pPr>
      <w:r>
        <w:rPr>
          <w:rFonts w:hint="eastAsia" w:ascii="仿宋_GB2312" w:hAnsi="仿宋_GB2312" w:cs="仿宋_GB2312"/>
          <w:bCs/>
        </w:rPr>
        <w:t>（</w:t>
      </w:r>
      <w:r>
        <w:rPr>
          <w:rFonts w:cs="Times New Roman"/>
          <w:bCs/>
        </w:rPr>
        <w:t>1</w:t>
      </w:r>
      <w:r>
        <w:rPr>
          <w:rFonts w:hint="eastAsia" w:ascii="仿宋_GB2312" w:hAnsi="仿宋_GB2312" w:cs="仿宋_GB2312"/>
          <w:bCs/>
        </w:rPr>
        <w:t>）各金融管理（监管）部门根据金融突发事件的严重程度，向</w:t>
      </w:r>
      <w:r>
        <w:rPr>
          <w:rFonts w:hint="eastAsia"/>
          <w:bCs/>
        </w:rPr>
        <w:t>应急指挥部</w:t>
      </w:r>
      <w:r>
        <w:rPr>
          <w:rFonts w:hint="eastAsia" w:ascii="仿宋_GB2312" w:hAnsi="仿宋_GB2312" w:cs="仿宋_GB2312"/>
          <w:bCs/>
        </w:rPr>
        <w:t>，及时提出启动本预案相应响应级别的建议，以及需协调解决的具体事项，为应急指挥部启动相应决策处置程序提供依据。</w:t>
      </w:r>
    </w:p>
    <w:p>
      <w:pPr>
        <w:snapToGrid w:val="0"/>
        <w:ind w:firstLine="640"/>
        <w:rPr>
          <w:rFonts w:ascii="仿宋_GB2312" w:hAnsi="仿宋_GB2312" w:cs="仿宋_GB2312"/>
          <w:bCs/>
          <w:color w:val="FF0000"/>
        </w:rPr>
      </w:pPr>
      <w:r>
        <w:rPr>
          <w:rFonts w:hint="eastAsia" w:ascii="仿宋_GB2312" w:hAnsi="仿宋_GB2312" w:cs="仿宋_GB2312"/>
          <w:bCs/>
        </w:rPr>
        <w:t>（</w:t>
      </w:r>
      <w:r>
        <w:rPr>
          <w:rFonts w:cs="Times New Roman"/>
          <w:bCs/>
        </w:rPr>
        <w:t>2</w:t>
      </w:r>
      <w:r>
        <w:rPr>
          <w:rFonts w:hint="eastAsia" w:ascii="仿宋_GB2312" w:hAnsi="仿宋_GB2312" w:cs="仿宋_GB2312"/>
          <w:bCs/>
        </w:rPr>
        <w:t>）金融突发事件应急处置具体指挥主体为相应金融管理（监管）部门，不同级别突发事件由不同级别组织机构负责协调和支持。</w:t>
      </w:r>
    </w:p>
    <w:p>
      <w:pPr>
        <w:snapToGrid w:val="0"/>
        <w:ind w:firstLine="640"/>
        <w:rPr>
          <w:rFonts w:ascii="仿宋_GB2312" w:hAnsi="仿宋_GB2312" w:cs="仿宋_GB2312"/>
          <w:bCs/>
        </w:rPr>
      </w:pPr>
      <w:r>
        <w:rPr>
          <w:rFonts w:hint="eastAsia" w:ascii="仿宋_GB2312" w:hAnsi="仿宋_GB2312" w:cs="仿宋_GB2312"/>
          <w:bCs/>
        </w:rPr>
        <w:t>（</w:t>
      </w:r>
      <w:r>
        <w:rPr>
          <w:rFonts w:cs="Times New Roman"/>
          <w:bCs/>
        </w:rPr>
        <w:t>3</w:t>
      </w:r>
      <w:r>
        <w:rPr>
          <w:rFonts w:hint="eastAsia" w:ascii="仿宋_GB2312" w:hAnsi="仿宋_GB2312" w:cs="仿宋_GB2312"/>
          <w:bCs/>
        </w:rPr>
        <w:t>）金融管理（监管）部门根据金融突发事件演化及处置进展，对事件响应级别，及时提出调整建议。</w:t>
      </w:r>
    </w:p>
    <w:p>
      <w:pPr>
        <w:pStyle w:val="5"/>
        <w:ind w:firstLine="643"/>
        <w:rPr>
          <w:rFonts w:hint="default"/>
        </w:rPr>
      </w:pPr>
      <w:bookmarkStart w:id="1340" w:name="_Toc32241"/>
      <w:bookmarkStart w:id="1341" w:name="_Toc1972"/>
      <w:bookmarkStart w:id="1342" w:name="_Toc2051"/>
      <w:bookmarkStart w:id="1343" w:name="_Toc22530"/>
      <w:bookmarkStart w:id="1344" w:name="_Toc24564"/>
      <w:bookmarkStart w:id="1345" w:name="_Toc23721"/>
      <w:bookmarkStart w:id="1346" w:name="_Toc9729"/>
      <w:bookmarkStart w:id="1347" w:name="_Toc31047"/>
      <w:bookmarkStart w:id="1348" w:name="_Toc17138"/>
      <w:bookmarkStart w:id="1349" w:name="_Toc14362"/>
      <w:bookmarkStart w:id="1350" w:name="_Toc21469"/>
      <w:bookmarkStart w:id="1351" w:name="_Toc32541"/>
      <w:r>
        <w:rPr>
          <w:rFonts w:ascii="仿宋_GB2312" w:hAnsi="仿宋_GB2312" w:cs="仿宋_GB2312"/>
          <w:szCs w:val="32"/>
        </w:rPr>
        <w:t>5.3.2  响应分级</w:t>
      </w:r>
      <w:bookmarkEnd w:id="1340"/>
      <w:bookmarkEnd w:id="1341"/>
      <w:bookmarkEnd w:id="1342"/>
      <w:bookmarkEnd w:id="1343"/>
      <w:bookmarkEnd w:id="1344"/>
      <w:bookmarkEnd w:id="1345"/>
      <w:bookmarkEnd w:id="1346"/>
      <w:bookmarkEnd w:id="1347"/>
      <w:bookmarkEnd w:id="1348"/>
      <w:bookmarkEnd w:id="1349"/>
      <w:bookmarkEnd w:id="1350"/>
      <w:bookmarkEnd w:id="1351"/>
    </w:p>
    <w:p>
      <w:pPr>
        <w:ind w:firstLine="640"/>
        <w:rPr>
          <w:rFonts w:ascii="仿宋_GB2312" w:hAnsi="仿宋_GB2312" w:cs="仿宋_GB2312"/>
          <w:b/>
          <w:szCs w:val="32"/>
        </w:rPr>
      </w:pPr>
      <w:r>
        <w:rPr>
          <w:rFonts w:hint="eastAsia"/>
        </w:rPr>
        <w:t>金融突发事件应急响应级</w:t>
      </w:r>
      <w:r>
        <w:rPr>
          <w:rFonts w:hint="eastAsia" w:ascii="仿宋_GB2312" w:hAnsi="仿宋_GB2312" w:cs="仿宋_GB2312"/>
          <w:bCs/>
        </w:rPr>
        <w:t>别分Ⅰ级、Ⅱ级、Ⅲ级、Ⅳ级四个等级。</w:t>
      </w:r>
    </w:p>
    <w:p>
      <w:pPr>
        <w:pStyle w:val="16"/>
        <w:widowControl/>
        <w:spacing w:beforeAutospacing="0" w:afterAutospacing="0" w:line="480" w:lineRule="auto"/>
        <w:ind w:firstLine="643"/>
        <w:rPr>
          <w:rFonts w:ascii="仿宋_GB2312" w:hAnsi="仿宋_GB2312" w:cs="仿宋_GB2312"/>
          <w:b/>
          <w:kern w:val="2"/>
          <w:sz w:val="32"/>
        </w:rPr>
      </w:pPr>
      <w:bookmarkStart w:id="1352" w:name="_Toc10733"/>
      <w:bookmarkStart w:id="1353" w:name="_Toc30830"/>
      <w:bookmarkStart w:id="1354" w:name="_Toc7146"/>
      <w:bookmarkStart w:id="1355" w:name="_Toc4909"/>
      <w:bookmarkStart w:id="1356" w:name="_Toc27753"/>
      <w:bookmarkStart w:id="1357" w:name="_Toc1912"/>
      <w:bookmarkStart w:id="1358" w:name="_Toc7264"/>
      <w:bookmarkStart w:id="1359" w:name="_Toc2008"/>
      <w:bookmarkStart w:id="1360" w:name="_Toc8173"/>
      <w:bookmarkStart w:id="1361" w:name="_Toc25508"/>
      <w:bookmarkStart w:id="1362" w:name="_Toc30144"/>
      <w:bookmarkStart w:id="1363" w:name="_Toc15508"/>
      <w:bookmarkStart w:id="1364" w:name="_Toc210"/>
      <w:bookmarkStart w:id="1365" w:name="_Toc29559"/>
      <w:bookmarkStart w:id="1366" w:name="_Toc5216"/>
      <w:bookmarkStart w:id="1367" w:name="_Toc14959"/>
      <w:bookmarkStart w:id="1368" w:name="_Toc15349"/>
      <w:bookmarkStart w:id="1369" w:name="_Toc31882"/>
      <w:bookmarkStart w:id="1370" w:name="_Toc12608"/>
      <w:bookmarkStart w:id="1371" w:name="_Toc276"/>
      <w:bookmarkStart w:id="1372" w:name="_Toc17039"/>
      <w:bookmarkStart w:id="1373" w:name="_Toc30254"/>
      <w:bookmarkStart w:id="1374" w:name="_Toc17314"/>
      <w:bookmarkStart w:id="1375" w:name="_Toc21161"/>
      <w:bookmarkStart w:id="1376" w:name="_Toc30425"/>
      <w:bookmarkStart w:id="1377" w:name="_Toc354"/>
      <w:bookmarkStart w:id="1378" w:name="_Toc23300"/>
      <w:bookmarkStart w:id="1379" w:name="_Toc27884"/>
      <w:bookmarkStart w:id="1380" w:name="_Toc22105"/>
      <w:bookmarkStart w:id="1381" w:name="_Toc4067"/>
      <w:bookmarkStart w:id="1382" w:name="_Toc12517"/>
      <w:bookmarkStart w:id="1383" w:name="_Toc1935"/>
      <w:bookmarkStart w:id="1384" w:name="_Toc24557"/>
      <w:bookmarkStart w:id="1385" w:name="_Toc25491"/>
      <w:bookmarkStart w:id="1386" w:name="_Toc21972"/>
      <w:bookmarkStart w:id="1387" w:name="_Toc3041"/>
      <w:r>
        <w:rPr>
          <w:rFonts w:hint="eastAsia" w:ascii="仿宋_GB2312" w:hAnsi="仿宋_GB2312" w:cs="仿宋_GB2312"/>
          <w:b/>
          <w:kern w:val="2"/>
          <w:sz w:val="32"/>
        </w:rPr>
        <w:t>5.3.3　</w:t>
      </w:r>
      <w:bookmarkEnd w:id="1352"/>
      <w:bookmarkEnd w:id="1353"/>
      <w:bookmarkEnd w:id="1354"/>
      <w:bookmarkEnd w:id="1355"/>
      <w:bookmarkEnd w:id="1356"/>
      <w:bookmarkEnd w:id="1357"/>
      <w:bookmarkEnd w:id="1358"/>
      <w:bookmarkEnd w:id="1359"/>
      <w:bookmarkEnd w:id="1360"/>
      <w:r>
        <w:rPr>
          <w:rFonts w:hint="eastAsia" w:ascii="仿宋_GB2312" w:hAnsi="仿宋_GB2312" w:cs="仿宋_GB2312"/>
          <w:b/>
          <w:kern w:val="2"/>
          <w:sz w:val="32"/>
        </w:rPr>
        <w:t>I级、Ⅱ级响应处置措施</w:t>
      </w:r>
    </w:p>
    <w:p>
      <w:pPr>
        <w:pStyle w:val="16"/>
        <w:widowControl/>
        <w:spacing w:beforeAutospacing="0" w:afterAutospacing="0" w:line="480" w:lineRule="auto"/>
        <w:ind w:firstLine="640"/>
        <w:rPr>
          <w:rFonts w:ascii="仿宋_GB2312" w:hAnsi="仿宋_GB2312" w:cs="仿宋_GB2312"/>
          <w:bCs/>
          <w:kern w:val="2"/>
          <w:sz w:val="32"/>
        </w:rPr>
      </w:pPr>
      <w:r>
        <w:rPr>
          <w:rFonts w:hint="eastAsia" w:ascii="仿宋_GB2312" w:hAnsi="仿宋_GB2312" w:cs="仿宋_GB2312"/>
          <w:bCs/>
          <w:kern w:val="2"/>
          <w:sz w:val="32"/>
        </w:rPr>
        <w:t>（</w:t>
      </w:r>
      <w:r>
        <w:rPr>
          <w:bCs/>
          <w:kern w:val="2"/>
          <w:sz w:val="32"/>
        </w:rPr>
        <w:t>1</w:t>
      </w:r>
      <w:r>
        <w:rPr>
          <w:rFonts w:hint="eastAsia" w:ascii="仿宋_GB2312" w:hAnsi="仿宋_GB2312" w:cs="仿宋_GB2312"/>
          <w:bCs/>
          <w:kern w:val="2"/>
          <w:sz w:val="32"/>
        </w:rPr>
        <w:t>）应急指挥部和事件所涉及部门启动应急响应，在职责范围内指导、组织和实施处置工作，及时切断风险源，防止风险进一步扩散。</w:t>
      </w:r>
    </w:p>
    <w:p>
      <w:pPr>
        <w:pStyle w:val="16"/>
        <w:widowControl/>
        <w:spacing w:beforeAutospacing="0" w:afterAutospacing="0" w:line="480" w:lineRule="auto"/>
        <w:ind w:firstLine="640"/>
        <w:rPr>
          <w:rFonts w:ascii="仿宋_GB2312" w:hAnsi="仿宋_GB2312" w:cs="仿宋_GB2312"/>
          <w:bCs/>
          <w:kern w:val="2"/>
          <w:sz w:val="32"/>
        </w:rPr>
      </w:pPr>
      <w:r>
        <w:rPr>
          <w:rFonts w:hint="eastAsia" w:ascii="仿宋_GB2312" w:hAnsi="仿宋_GB2312" w:cs="仿宋_GB2312"/>
          <w:bCs/>
          <w:kern w:val="2"/>
          <w:sz w:val="32"/>
        </w:rPr>
        <w:t>（</w:t>
      </w:r>
      <w:r>
        <w:rPr>
          <w:bCs/>
          <w:kern w:val="2"/>
          <w:sz w:val="32"/>
        </w:rPr>
        <w:t>2</w:t>
      </w:r>
      <w:r>
        <w:rPr>
          <w:rFonts w:hint="eastAsia" w:ascii="仿宋_GB2312" w:hAnsi="仿宋_GB2312" w:cs="仿宋_GB2312"/>
          <w:bCs/>
          <w:kern w:val="2"/>
          <w:sz w:val="32"/>
        </w:rPr>
        <w:t>）经确认为重大或特别重大金融突发事件的，由市政府按程序及时报请省政府作出处置决定。</w:t>
      </w:r>
    </w:p>
    <w:p>
      <w:pPr>
        <w:pStyle w:val="16"/>
        <w:widowControl/>
        <w:spacing w:beforeAutospacing="0" w:afterAutospacing="0" w:line="480" w:lineRule="auto"/>
        <w:ind w:firstLine="640"/>
        <w:rPr>
          <w:rFonts w:ascii="仿宋_GB2312" w:hAnsi="仿宋_GB2312" w:cs="仿宋_GB2312"/>
          <w:bCs/>
          <w:kern w:val="2"/>
          <w:sz w:val="32"/>
        </w:rPr>
      </w:pPr>
      <w:r>
        <w:rPr>
          <w:rFonts w:hint="eastAsia" w:ascii="仿宋_GB2312" w:hAnsi="仿宋_GB2312" w:cs="仿宋_GB2312"/>
          <w:bCs/>
          <w:kern w:val="2"/>
          <w:sz w:val="32"/>
        </w:rPr>
        <w:t>（</w:t>
      </w:r>
      <w:r>
        <w:rPr>
          <w:bCs/>
          <w:kern w:val="2"/>
          <w:sz w:val="32"/>
        </w:rPr>
        <w:t>3</w:t>
      </w:r>
      <w:r>
        <w:rPr>
          <w:rFonts w:hint="eastAsia" w:ascii="仿宋_GB2312" w:hAnsi="仿宋_GB2312" w:cs="仿宋_GB2312"/>
          <w:bCs/>
          <w:kern w:val="2"/>
          <w:sz w:val="32"/>
        </w:rPr>
        <w:t>）应急指挥部组织市有关部门、中央驻穗金融管理（监管）部门及其他事件涉及单位按照省政府、国务院处置方案部署，积极开展应对处置工作，共同维护金融稳定和经济社会秩序。</w:t>
      </w:r>
    </w:p>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p>
      <w:pPr>
        <w:snapToGrid w:val="0"/>
        <w:ind w:firstLine="643"/>
        <w:jc w:val="left"/>
        <w:outlineLvl w:val="2"/>
      </w:pPr>
      <w:bookmarkStart w:id="1388" w:name="_Toc12443"/>
      <w:bookmarkStart w:id="1389" w:name="_Toc18222"/>
      <w:bookmarkStart w:id="1390" w:name="_Toc21461"/>
      <w:bookmarkStart w:id="1391" w:name="_Toc7357"/>
      <w:bookmarkStart w:id="1392" w:name="_Toc10046"/>
      <w:bookmarkStart w:id="1393" w:name="_Toc17891"/>
      <w:bookmarkStart w:id="1394" w:name="_Toc8310"/>
      <w:bookmarkStart w:id="1395" w:name="_Toc22292"/>
      <w:bookmarkStart w:id="1396" w:name="_Toc31939"/>
      <w:bookmarkStart w:id="1397" w:name="_Toc14757"/>
      <w:bookmarkStart w:id="1398" w:name="_Toc3456"/>
      <w:bookmarkStart w:id="1399" w:name="_Toc289"/>
      <w:bookmarkStart w:id="1400" w:name="_Toc30915"/>
      <w:bookmarkStart w:id="1401" w:name="_Toc25906"/>
      <w:bookmarkStart w:id="1402" w:name="_Toc17481"/>
      <w:bookmarkStart w:id="1403" w:name="_Toc2031"/>
      <w:bookmarkStart w:id="1404" w:name="_Toc10593"/>
      <w:bookmarkStart w:id="1405" w:name="_Toc21228"/>
      <w:bookmarkStart w:id="1406" w:name="_Toc25426"/>
      <w:bookmarkStart w:id="1407" w:name="_Toc4317"/>
      <w:bookmarkStart w:id="1408" w:name="_Toc11924"/>
      <w:bookmarkStart w:id="1409" w:name="_Toc6143"/>
      <w:bookmarkStart w:id="1410" w:name="_Toc24938"/>
      <w:bookmarkStart w:id="1411" w:name="_Toc22134"/>
      <w:bookmarkStart w:id="1412" w:name="_Toc18480"/>
      <w:bookmarkStart w:id="1413" w:name="_Toc19651"/>
      <w:bookmarkStart w:id="1414" w:name="_Toc15547"/>
      <w:bookmarkStart w:id="1415" w:name="_Toc2128"/>
      <w:bookmarkStart w:id="1416" w:name="_Toc9111"/>
      <w:bookmarkStart w:id="1417" w:name="_Toc11849"/>
      <w:bookmarkStart w:id="1418" w:name="_Toc28515"/>
      <w:bookmarkStart w:id="1419" w:name="_Toc22475"/>
      <w:bookmarkStart w:id="1420" w:name="_Toc7445"/>
      <w:bookmarkStart w:id="1421" w:name="_Toc32042"/>
      <w:r>
        <w:rPr>
          <w:rFonts w:hint="eastAsia" w:ascii="仿宋_GB2312" w:hAnsi="仿宋_GB2312" w:cs="仿宋_GB2312"/>
          <w:b/>
          <w:szCs w:val="32"/>
        </w:rPr>
        <w:t>5.3.4　Ⅲ级响应</w:t>
      </w:r>
      <w:bookmarkEnd w:id="1388"/>
      <w:bookmarkEnd w:id="1389"/>
      <w:bookmarkEnd w:id="1390"/>
      <w:bookmarkEnd w:id="1391"/>
      <w:bookmarkEnd w:id="1392"/>
      <w:bookmarkEnd w:id="1393"/>
      <w:bookmarkEnd w:id="1394"/>
    </w:p>
    <w:p>
      <w:pPr>
        <w:spacing w:line="575" w:lineRule="exact"/>
        <w:ind w:firstLine="643"/>
        <w:jc w:val="left"/>
        <w:rPr>
          <w:rFonts w:ascii="仿宋_GB2312"/>
          <w:b/>
          <w:bCs/>
          <w:color w:val="000000"/>
          <w:szCs w:val="30"/>
        </w:rPr>
      </w:pPr>
      <w:r>
        <w:rPr>
          <w:rFonts w:hint="eastAsia" w:ascii="仿宋_GB2312"/>
          <w:b/>
          <w:bCs/>
          <w:color w:val="000000"/>
          <w:szCs w:val="30"/>
        </w:rPr>
        <w:t>5.3.4.1 响应程序</w:t>
      </w:r>
    </w:p>
    <w:p>
      <w:pPr>
        <w:spacing w:line="575" w:lineRule="exact"/>
        <w:ind w:firstLine="640"/>
        <w:jc w:val="left"/>
        <w:rPr>
          <w:rFonts w:ascii="仿宋_GB2312"/>
          <w:color w:val="000000"/>
          <w:szCs w:val="32"/>
        </w:rPr>
      </w:pPr>
      <w:r>
        <w:rPr>
          <w:rFonts w:hint="eastAsia" w:ascii="仿宋_GB2312"/>
          <w:color w:val="000000"/>
          <w:szCs w:val="32"/>
        </w:rPr>
        <w:t>（</w:t>
      </w:r>
      <w:r>
        <w:rPr>
          <w:rFonts w:cs="Times New Roman"/>
          <w:color w:val="000000"/>
          <w:szCs w:val="32"/>
        </w:rPr>
        <w:t>1</w:t>
      </w:r>
      <w:r>
        <w:rPr>
          <w:rFonts w:hint="eastAsia" w:ascii="仿宋_GB2312"/>
          <w:color w:val="000000"/>
          <w:szCs w:val="32"/>
        </w:rPr>
        <w:t>）较大金融突发事件发生后，各相关单位立即启动本单位的应急预案，并及时报告本系统上级单位、市政府和应急指挥部办公室。</w:t>
      </w:r>
    </w:p>
    <w:p>
      <w:pPr>
        <w:spacing w:line="575" w:lineRule="exact"/>
        <w:ind w:firstLine="640"/>
        <w:jc w:val="left"/>
        <w:rPr>
          <w:rFonts w:ascii="仿宋_GB2312"/>
          <w:color w:val="000000"/>
          <w:szCs w:val="32"/>
        </w:rPr>
      </w:pPr>
      <w:r>
        <w:rPr>
          <w:rFonts w:hint="eastAsia" w:ascii="仿宋_GB2312"/>
          <w:color w:val="000000"/>
          <w:szCs w:val="32"/>
        </w:rPr>
        <w:t>（</w:t>
      </w:r>
      <w:r>
        <w:rPr>
          <w:rFonts w:cs="Times New Roman"/>
          <w:color w:val="000000"/>
          <w:szCs w:val="32"/>
        </w:rPr>
        <w:t>2</w:t>
      </w:r>
      <w:r>
        <w:rPr>
          <w:rFonts w:hint="eastAsia" w:ascii="仿宋_GB2312"/>
          <w:color w:val="000000"/>
          <w:szCs w:val="32"/>
        </w:rPr>
        <w:t>）应急指挥部办公室报请应急指挥部决定启动本预案。</w:t>
      </w:r>
    </w:p>
    <w:p>
      <w:pPr>
        <w:spacing w:line="575" w:lineRule="exact"/>
        <w:ind w:firstLine="643"/>
        <w:jc w:val="left"/>
        <w:rPr>
          <w:rFonts w:ascii="仿宋_GB2312"/>
          <w:b/>
          <w:bCs/>
          <w:color w:val="000000"/>
          <w:szCs w:val="30"/>
        </w:rPr>
      </w:pPr>
      <w:r>
        <w:rPr>
          <w:rFonts w:hint="eastAsia" w:ascii="仿宋_GB2312"/>
          <w:b/>
          <w:bCs/>
          <w:color w:val="000000"/>
          <w:szCs w:val="30"/>
        </w:rPr>
        <w:t>5.3.4.2 决策及应急措施</w:t>
      </w:r>
    </w:p>
    <w:p>
      <w:pPr>
        <w:spacing w:line="575" w:lineRule="exact"/>
        <w:ind w:firstLine="640"/>
        <w:jc w:val="left"/>
        <w:rPr>
          <w:rFonts w:ascii="仿宋_GB2312"/>
          <w:color w:val="000000"/>
          <w:szCs w:val="32"/>
        </w:rPr>
      </w:pPr>
      <w:r>
        <w:rPr>
          <w:rFonts w:hint="eastAsia" w:ascii="仿宋_GB2312"/>
          <w:color w:val="000000"/>
          <w:szCs w:val="30"/>
        </w:rPr>
        <w:t>（</w:t>
      </w:r>
      <w:r>
        <w:rPr>
          <w:rFonts w:cs="Times New Roman"/>
          <w:color w:val="000000"/>
          <w:szCs w:val="30"/>
        </w:rPr>
        <w:t>1</w:t>
      </w:r>
      <w:r>
        <w:rPr>
          <w:rFonts w:hint="eastAsia" w:ascii="仿宋_GB2312"/>
          <w:color w:val="000000"/>
          <w:szCs w:val="30"/>
        </w:rPr>
        <w:t>）各单位立即启动本单位的应急预案，在本单位的职责</w:t>
      </w:r>
      <w:r>
        <w:rPr>
          <w:rFonts w:hint="eastAsia" w:ascii="仿宋_GB2312"/>
          <w:color w:val="000000"/>
          <w:szCs w:val="32"/>
        </w:rPr>
        <w:t>范围内指导处置工作，及时切断风险源，防止风险进一步扩散。</w:t>
      </w:r>
    </w:p>
    <w:p>
      <w:pPr>
        <w:spacing w:line="575" w:lineRule="exact"/>
        <w:ind w:firstLine="640"/>
        <w:jc w:val="left"/>
        <w:rPr>
          <w:rFonts w:ascii="仿宋_GB2312"/>
          <w:color w:val="000000"/>
          <w:szCs w:val="32"/>
        </w:rPr>
      </w:pPr>
      <w:r>
        <w:rPr>
          <w:rFonts w:hint="eastAsia" w:ascii="仿宋_GB2312"/>
          <w:color w:val="000000"/>
          <w:szCs w:val="32"/>
        </w:rPr>
        <w:t>（</w:t>
      </w:r>
      <w:r>
        <w:rPr>
          <w:rFonts w:cs="Times New Roman"/>
          <w:color w:val="000000"/>
          <w:szCs w:val="32"/>
        </w:rPr>
        <w:t>2</w:t>
      </w:r>
      <w:r>
        <w:rPr>
          <w:rFonts w:hint="eastAsia" w:ascii="仿宋_GB2312"/>
          <w:color w:val="000000"/>
          <w:szCs w:val="32"/>
        </w:rPr>
        <w:t>）应急指挥部召开成员单位会议，分析研究金融突发事件的基本情况、性质和成因，提出处置方案，报市政府批准后实施。</w:t>
      </w:r>
    </w:p>
    <w:p>
      <w:pPr>
        <w:spacing w:line="575" w:lineRule="exact"/>
        <w:ind w:firstLine="640"/>
        <w:jc w:val="left"/>
        <w:rPr>
          <w:rFonts w:ascii="仿宋_GB2312"/>
          <w:color w:val="000000"/>
          <w:szCs w:val="32"/>
        </w:rPr>
      </w:pPr>
      <w:r>
        <w:rPr>
          <w:rFonts w:hint="eastAsia" w:ascii="仿宋_GB2312"/>
          <w:color w:val="000000"/>
          <w:szCs w:val="32"/>
        </w:rPr>
        <w:t>处置方案的主要内容应包括：金融突发事件的基本情况、事件的性质和严重程度、影响范围、成员单位会议讨论的意见及协调处置的方式、方法和所要采取的具体措施等。</w:t>
      </w:r>
    </w:p>
    <w:p>
      <w:pPr>
        <w:spacing w:line="575" w:lineRule="exact"/>
        <w:ind w:firstLine="640"/>
        <w:jc w:val="left"/>
        <w:rPr>
          <w:rFonts w:ascii="仿宋_GB2312"/>
          <w:color w:val="000000"/>
          <w:szCs w:val="32"/>
        </w:rPr>
      </w:pPr>
      <w:r>
        <w:rPr>
          <w:rFonts w:hint="eastAsia" w:ascii="仿宋_GB2312"/>
          <w:color w:val="000000"/>
          <w:szCs w:val="32"/>
        </w:rPr>
        <w:t>（</w:t>
      </w:r>
      <w:r>
        <w:rPr>
          <w:rFonts w:cs="Times New Roman"/>
          <w:color w:val="000000"/>
          <w:szCs w:val="32"/>
        </w:rPr>
        <w:t>3</w:t>
      </w:r>
      <w:r>
        <w:rPr>
          <w:rFonts w:hint="eastAsia" w:ascii="仿宋_GB2312"/>
          <w:color w:val="000000"/>
          <w:szCs w:val="32"/>
        </w:rPr>
        <w:t>）在防范处置金融突发事件过程中，市政府有关单位应建立新闻发言人制度，做好宣传、解释工作，加强舆论引导。</w:t>
      </w:r>
    </w:p>
    <w:p>
      <w:pPr>
        <w:spacing w:line="575" w:lineRule="exact"/>
        <w:ind w:firstLine="640"/>
        <w:jc w:val="left"/>
        <w:rPr>
          <w:rFonts w:ascii="仿宋_GB2312"/>
          <w:color w:val="000000"/>
          <w:szCs w:val="32"/>
        </w:rPr>
      </w:pPr>
      <w:r>
        <w:rPr>
          <w:rFonts w:hint="eastAsia" w:ascii="仿宋_GB2312"/>
          <w:color w:val="000000"/>
          <w:szCs w:val="32"/>
        </w:rPr>
        <w:t>（4）</w:t>
      </w:r>
      <w:r>
        <w:rPr>
          <w:rFonts w:hint="eastAsia" w:cs="Times New Roman"/>
        </w:rPr>
        <w:t>市地方金融监管局与人民银行广州分行、广东银保监局、广东证监局、广州市财政局等以及风险涉及单位应根据上级单位与市政府的授权与职责分工</w:t>
      </w:r>
      <w:r>
        <w:rPr>
          <w:rFonts w:hint="eastAsia" w:ascii="仿宋_GB2312"/>
          <w:color w:val="000000"/>
          <w:szCs w:val="32"/>
        </w:rPr>
        <w:t>，加强协调和配合，共同维护金融稳定。</w:t>
      </w:r>
    </w:p>
    <w:p>
      <w:pPr>
        <w:spacing w:line="575" w:lineRule="exact"/>
        <w:ind w:firstLine="643"/>
        <w:jc w:val="left"/>
        <w:rPr>
          <w:rFonts w:ascii="仿宋_GB2312"/>
          <w:b/>
          <w:bCs/>
          <w:color w:val="000000"/>
          <w:szCs w:val="32"/>
        </w:rPr>
      </w:pPr>
      <w:r>
        <w:rPr>
          <w:rFonts w:hint="eastAsia" w:ascii="仿宋_GB2312"/>
          <w:b/>
          <w:bCs/>
          <w:color w:val="000000"/>
          <w:szCs w:val="32"/>
        </w:rPr>
        <w:t>5.3.4.3 落实措施</w:t>
      </w:r>
    </w:p>
    <w:p>
      <w:pPr>
        <w:spacing w:line="575" w:lineRule="exact"/>
        <w:ind w:firstLine="640"/>
        <w:jc w:val="left"/>
        <w:rPr>
          <w:rFonts w:ascii="仿宋_GB2312"/>
          <w:color w:val="000000"/>
          <w:szCs w:val="32"/>
        </w:rPr>
      </w:pPr>
      <w:r>
        <w:rPr>
          <w:rFonts w:hint="eastAsia" w:ascii="仿宋_GB2312"/>
          <w:color w:val="000000"/>
          <w:szCs w:val="32"/>
        </w:rPr>
        <w:t>（</w:t>
      </w:r>
      <w:r>
        <w:rPr>
          <w:rFonts w:cs="Times New Roman"/>
          <w:color w:val="000000"/>
          <w:szCs w:val="32"/>
        </w:rPr>
        <w:t>1</w:t>
      </w:r>
      <w:r>
        <w:rPr>
          <w:rFonts w:hint="eastAsia" w:ascii="仿宋_GB2312"/>
          <w:color w:val="000000"/>
          <w:szCs w:val="32"/>
        </w:rPr>
        <w:t>）处置方案经市政府批准后，由应急指挥部办公室督促有关单位组织实施。</w:t>
      </w:r>
    </w:p>
    <w:p>
      <w:pPr>
        <w:spacing w:line="575" w:lineRule="exact"/>
        <w:ind w:firstLine="640"/>
        <w:jc w:val="left"/>
        <w:rPr>
          <w:rFonts w:ascii="仿宋_GB2312"/>
          <w:color w:val="000000"/>
          <w:szCs w:val="32"/>
        </w:rPr>
      </w:pPr>
      <w:r>
        <w:rPr>
          <w:rFonts w:hint="eastAsia" w:ascii="仿宋_GB2312"/>
          <w:color w:val="000000"/>
          <w:szCs w:val="32"/>
        </w:rPr>
        <w:t>（</w:t>
      </w:r>
      <w:r>
        <w:rPr>
          <w:rFonts w:cs="Times New Roman"/>
          <w:color w:val="000000"/>
          <w:szCs w:val="32"/>
        </w:rPr>
        <w:t>2</w:t>
      </w:r>
      <w:r>
        <w:rPr>
          <w:rFonts w:hint="eastAsia" w:ascii="仿宋_GB2312"/>
          <w:color w:val="000000"/>
          <w:szCs w:val="32"/>
        </w:rPr>
        <w:t>）</w:t>
      </w:r>
      <w:r>
        <w:rPr>
          <w:rFonts w:hint="eastAsia"/>
        </w:rPr>
        <w:t>对经批准给予再贷款支持的，按照《中国人民银行紧急贷款暂行管理办法》</w:t>
      </w:r>
      <w:r>
        <w:rPr>
          <w:rFonts w:hint="eastAsia" w:ascii="仿宋_GB2312"/>
          <w:color w:val="000000"/>
          <w:szCs w:val="32"/>
        </w:rPr>
        <w:t>《地方政府向中央专项借款管理规定》《中国人民银行分行短期再贷款管理暂行办法》以及其他有关规定，由人民银行广州分行负责办理发放再贷款的有关手续、监督再贷款的使用和收回。</w:t>
      </w:r>
    </w:p>
    <w:p>
      <w:pPr>
        <w:spacing w:line="575" w:lineRule="exact"/>
        <w:ind w:firstLine="640"/>
        <w:jc w:val="left"/>
        <w:rPr>
          <w:rFonts w:ascii="仿宋_GB2312"/>
          <w:color w:val="000000"/>
          <w:szCs w:val="30"/>
        </w:rPr>
      </w:pPr>
      <w:r>
        <w:rPr>
          <w:rFonts w:hint="eastAsia" w:ascii="仿宋_GB2312"/>
          <w:color w:val="000000"/>
          <w:szCs w:val="32"/>
        </w:rPr>
        <w:t>（</w:t>
      </w:r>
      <w:r>
        <w:rPr>
          <w:rFonts w:cs="Times New Roman"/>
          <w:color w:val="000000"/>
          <w:szCs w:val="32"/>
        </w:rPr>
        <w:t>3</w:t>
      </w:r>
      <w:r>
        <w:rPr>
          <w:rFonts w:hint="eastAsia" w:ascii="仿宋_GB2312"/>
          <w:color w:val="000000"/>
          <w:szCs w:val="32"/>
        </w:rPr>
        <w:t>）</w:t>
      </w:r>
      <w:r>
        <w:rPr>
          <w:rFonts w:hint="eastAsia" w:ascii="仿宋_GB2312"/>
          <w:color w:val="000000"/>
          <w:szCs w:val="30"/>
        </w:rPr>
        <w:t>对需要采取撤销(关闭)形式退出金融市场的，应当按照《中华人民共和国银行业监督管理法》《中华人民共和国证券法》《中华人民共和国保险法》《金融机构撤销条例》和《期货交易管理暂行条例》的有关规定，由金融管理（监管）部门依据其监管职责和权限对外发布撤销(关闭)公告，并由有关单位成立清算组进行清算。</w:t>
      </w:r>
    </w:p>
    <w:p>
      <w:pPr>
        <w:spacing w:line="575" w:lineRule="exact"/>
        <w:ind w:firstLine="640"/>
        <w:jc w:val="left"/>
        <w:rPr>
          <w:rFonts w:ascii="仿宋_GB2312"/>
          <w:color w:val="000000"/>
          <w:szCs w:val="30"/>
        </w:rPr>
      </w:pPr>
      <w:r>
        <w:rPr>
          <w:rFonts w:hint="eastAsia" w:ascii="仿宋_GB2312"/>
          <w:color w:val="000000"/>
          <w:szCs w:val="30"/>
        </w:rPr>
        <w:t>（</w:t>
      </w:r>
      <w:r>
        <w:rPr>
          <w:rFonts w:cs="Times New Roman"/>
          <w:color w:val="000000"/>
          <w:szCs w:val="30"/>
        </w:rPr>
        <w:t>4</w:t>
      </w:r>
      <w:r>
        <w:rPr>
          <w:rFonts w:hint="eastAsia" w:ascii="仿宋_GB2312"/>
          <w:color w:val="000000"/>
          <w:szCs w:val="30"/>
        </w:rPr>
        <w:t>）在处置金融突发事件过程中，对发现涉嫌犯罪的事实，公安机关应依法立案侦查，并采取积极有效措施，严防犯罪嫌疑人潜逃，有关单位应予积极配合；需要调派警力维持现场秩序的，由事发地政府负责，上级公安机关应指导和协调事发地公安机关执行。对债权人、被保险人等的宣传、解释、说服工作，由事发地区政府及金融管理（监管）部门负责。</w:t>
      </w:r>
    </w:p>
    <w:p>
      <w:pPr>
        <w:spacing w:line="575" w:lineRule="exact"/>
        <w:ind w:firstLine="640"/>
        <w:jc w:val="left"/>
        <w:rPr>
          <w:rFonts w:ascii="仿宋_GB2312"/>
          <w:color w:val="000000"/>
          <w:szCs w:val="32"/>
        </w:rPr>
      </w:pPr>
      <w:r>
        <w:rPr>
          <w:rFonts w:hint="eastAsia" w:ascii="仿宋_GB2312"/>
          <w:color w:val="000000"/>
          <w:szCs w:val="30"/>
        </w:rPr>
        <w:t>（</w:t>
      </w:r>
      <w:r>
        <w:rPr>
          <w:rFonts w:cs="Times New Roman"/>
          <w:color w:val="000000"/>
          <w:szCs w:val="30"/>
        </w:rPr>
        <w:t>5</w:t>
      </w:r>
      <w:r>
        <w:rPr>
          <w:rFonts w:hint="eastAsia" w:ascii="仿宋_GB2312"/>
          <w:color w:val="000000"/>
          <w:szCs w:val="30"/>
        </w:rPr>
        <w:t>）</w:t>
      </w:r>
      <w:r>
        <w:rPr>
          <w:rFonts w:hint="eastAsia" w:ascii="仿宋_GB2312"/>
          <w:color w:val="000000"/>
          <w:szCs w:val="32"/>
        </w:rPr>
        <w:t>应急指挥部根据事件发展情况，报请市政府适时启动有关应对大规模群体性突发事件响应处置程序，开展处置工作。</w:t>
      </w:r>
    </w:p>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p>
      <w:pPr>
        <w:pStyle w:val="5"/>
        <w:ind w:firstLine="643"/>
        <w:rPr>
          <w:rFonts w:hint="default" w:ascii="仿宋_GB2312" w:hAnsi="仿宋_GB2312" w:cs="仿宋_GB2312"/>
          <w:szCs w:val="32"/>
        </w:rPr>
      </w:pPr>
      <w:bookmarkStart w:id="1422" w:name="_Toc15671"/>
      <w:bookmarkStart w:id="1423" w:name="_Toc31807"/>
      <w:bookmarkStart w:id="1424" w:name="_Toc3476"/>
      <w:bookmarkStart w:id="1425" w:name="_Toc23397"/>
      <w:bookmarkStart w:id="1426" w:name="_Toc9705"/>
      <w:bookmarkStart w:id="1427" w:name="_Toc2538"/>
      <w:bookmarkStart w:id="1428" w:name="_Toc3938"/>
      <w:bookmarkStart w:id="1429" w:name="_Toc15400"/>
      <w:bookmarkStart w:id="1430" w:name="_Toc1734"/>
      <w:bookmarkStart w:id="1431" w:name="_Toc23213"/>
      <w:bookmarkStart w:id="1432" w:name="_Toc23208"/>
      <w:bookmarkStart w:id="1433" w:name="_Toc30861"/>
      <w:bookmarkStart w:id="1434" w:name="_Toc21300"/>
      <w:bookmarkStart w:id="1435" w:name="_Toc11295"/>
      <w:bookmarkStart w:id="1436" w:name="_Toc1315"/>
      <w:bookmarkStart w:id="1437" w:name="_Toc28279"/>
      <w:bookmarkStart w:id="1438" w:name="_Toc27493"/>
      <w:bookmarkStart w:id="1439" w:name="_Toc26769"/>
      <w:bookmarkStart w:id="1440" w:name="_Toc13928"/>
      <w:bookmarkStart w:id="1441" w:name="_Toc30893"/>
      <w:bookmarkStart w:id="1442" w:name="_Toc13917"/>
      <w:bookmarkStart w:id="1443" w:name="_Toc21185"/>
      <w:bookmarkStart w:id="1444" w:name="_Toc26057"/>
      <w:bookmarkStart w:id="1445" w:name="_Toc19327"/>
      <w:bookmarkStart w:id="1446" w:name="_Toc4855"/>
      <w:bookmarkStart w:id="1447" w:name="_Toc56"/>
      <w:bookmarkStart w:id="1448" w:name="_Toc8112"/>
      <w:bookmarkStart w:id="1449" w:name="_Toc21740"/>
      <w:bookmarkStart w:id="1450" w:name="_Toc21231"/>
      <w:bookmarkStart w:id="1451" w:name="_Toc17916"/>
      <w:bookmarkStart w:id="1452" w:name="_Toc30160"/>
      <w:bookmarkStart w:id="1453" w:name="_Toc28681"/>
      <w:bookmarkStart w:id="1454" w:name="_Toc10303"/>
      <w:bookmarkStart w:id="1455" w:name="_Toc13449"/>
      <w:bookmarkStart w:id="1456" w:name="_Toc440"/>
      <w:bookmarkStart w:id="1457" w:name="_Toc31345"/>
      <w:r>
        <w:rPr>
          <w:rFonts w:ascii="仿宋_GB2312" w:hAnsi="仿宋_GB2312" w:cs="仿宋_GB2312"/>
          <w:szCs w:val="32"/>
        </w:rPr>
        <w:t>5.3.5  Ⅳ级响应</w:t>
      </w:r>
      <w:bookmarkEnd w:id="1422"/>
      <w:bookmarkEnd w:id="1423"/>
      <w:bookmarkEnd w:id="1424"/>
      <w:bookmarkEnd w:id="1425"/>
      <w:bookmarkEnd w:id="1426"/>
      <w:bookmarkEnd w:id="1427"/>
      <w:bookmarkEnd w:id="1428"/>
      <w:bookmarkEnd w:id="1429"/>
      <w:bookmarkEnd w:id="1430"/>
    </w:p>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p>
      <w:pPr>
        <w:spacing w:line="575" w:lineRule="exact"/>
        <w:ind w:firstLine="643"/>
        <w:rPr>
          <w:rFonts w:ascii="仿宋_GB2312"/>
          <w:color w:val="000000"/>
          <w:szCs w:val="32"/>
        </w:rPr>
      </w:pPr>
      <w:bookmarkStart w:id="1458" w:name="_Toc4065"/>
      <w:bookmarkStart w:id="1459" w:name="_Toc6146"/>
      <w:bookmarkStart w:id="1460" w:name="_Toc13686"/>
      <w:bookmarkStart w:id="1461" w:name="_Toc3185"/>
      <w:bookmarkStart w:id="1462" w:name="_Toc7269"/>
      <w:bookmarkStart w:id="1463" w:name="_Toc7180"/>
      <w:bookmarkStart w:id="1464" w:name="_Toc24088"/>
      <w:bookmarkStart w:id="1465" w:name="_Toc11283"/>
      <w:bookmarkStart w:id="1466" w:name="_Toc24519"/>
      <w:bookmarkStart w:id="1467" w:name="_Toc18104"/>
      <w:bookmarkStart w:id="1468" w:name="_Toc18189"/>
      <w:bookmarkStart w:id="1469" w:name="_Toc8729"/>
      <w:bookmarkStart w:id="1470" w:name="_Toc2723"/>
      <w:bookmarkStart w:id="1471" w:name="_Toc25501"/>
      <w:bookmarkStart w:id="1472" w:name="_Toc25989"/>
      <w:bookmarkStart w:id="1473" w:name="_Toc30563"/>
      <w:bookmarkStart w:id="1474" w:name="_Toc24549"/>
      <w:bookmarkStart w:id="1475" w:name="_Toc47"/>
      <w:bookmarkStart w:id="1476" w:name="_Toc12614"/>
      <w:bookmarkStart w:id="1477" w:name="_Toc7319"/>
      <w:bookmarkStart w:id="1478" w:name="_Toc30746"/>
      <w:bookmarkStart w:id="1479" w:name="_Toc21705"/>
      <w:bookmarkStart w:id="1480" w:name="_Toc2970"/>
      <w:bookmarkStart w:id="1481" w:name="_Toc6011"/>
      <w:bookmarkStart w:id="1482" w:name="_Toc30140_WPSOffice_Level2"/>
      <w:bookmarkStart w:id="1483" w:name="_Toc24425"/>
      <w:bookmarkStart w:id="1484" w:name="_Toc26542"/>
      <w:bookmarkStart w:id="1485" w:name="_Toc6141"/>
      <w:bookmarkStart w:id="1486" w:name="_Toc22990"/>
      <w:bookmarkStart w:id="1487" w:name="_Toc9581"/>
      <w:bookmarkStart w:id="1488" w:name="_Toc20365"/>
      <w:bookmarkStart w:id="1489" w:name="_Toc30968"/>
      <w:bookmarkStart w:id="1490" w:name="_Toc6084"/>
      <w:bookmarkStart w:id="1491" w:name="_Toc14585"/>
      <w:bookmarkStart w:id="1492" w:name="_Toc5165"/>
      <w:bookmarkStart w:id="1493" w:name="_Toc10182"/>
      <w:bookmarkStart w:id="1494" w:name="_Toc4301"/>
      <w:bookmarkStart w:id="1495" w:name="_Toc4160"/>
      <w:bookmarkStart w:id="1496" w:name="_Toc10439"/>
      <w:r>
        <w:rPr>
          <w:rFonts w:hint="eastAsia" w:ascii="仿宋_GB2312"/>
          <w:b/>
          <w:bCs/>
          <w:color w:val="000000"/>
          <w:szCs w:val="32"/>
        </w:rPr>
        <w:t>5.3.5.1</w:t>
      </w:r>
      <w:r>
        <w:rPr>
          <w:rFonts w:hint="eastAsia" w:ascii="仿宋_GB2312"/>
          <w:color w:val="000000"/>
          <w:szCs w:val="32"/>
        </w:rPr>
        <w:t xml:space="preserve"> 由事件所涉及的单位和区政府启动应急预案进行处置并将共同制订的具体处置工作方案上报市政府批准。</w:t>
      </w:r>
    </w:p>
    <w:p>
      <w:pPr>
        <w:spacing w:line="575" w:lineRule="exact"/>
        <w:ind w:firstLine="643"/>
        <w:rPr>
          <w:rFonts w:ascii="仿宋_GB2312"/>
          <w:color w:val="000000"/>
          <w:szCs w:val="32"/>
        </w:rPr>
      </w:pPr>
      <w:r>
        <w:rPr>
          <w:rFonts w:hint="eastAsia" w:ascii="仿宋_GB2312"/>
          <w:b/>
          <w:bCs/>
          <w:color w:val="000000"/>
          <w:szCs w:val="32"/>
        </w:rPr>
        <w:t>5.3.5.2</w:t>
      </w:r>
      <w:r>
        <w:rPr>
          <w:rFonts w:hint="eastAsia" w:ascii="仿宋_GB2312"/>
          <w:color w:val="000000"/>
          <w:szCs w:val="32"/>
        </w:rPr>
        <w:t xml:space="preserve"> 区政府负责对本行政区域内有关单位的应急工作进行协调，维护本行政区域的金融安全和社会稳定。</w:t>
      </w:r>
    </w:p>
    <w:p>
      <w:pPr>
        <w:pStyle w:val="3"/>
        <w:snapToGrid w:val="0"/>
        <w:spacing w:line="560" w:lineRule="exact"/>
        <w:ind w:firstLine="643"/>
        <w:rPr>
          <w:bCs w:val="0"/>
        </w:rPr>
      </w:pPr>
      <w:r>
        <w:rPr>
          <w:rFonts w:hint="eastAsia"/>
          <w:bCs w:val="0"/>
        </w:rPr>
        <w:t>5.4　指挥协调</w:t>
      </w:r>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p>
    <w:p>
      <w:pPr>
        <w:ind w:firstLine="640"/>
        <w:rPr>
          <w:bCs/>
        </w:rPr>
      </w:pPr>
      <w:r>
        <w:rPr>
          <w:rFonts w:hint="eastAsia"/>
        </w:rPr>
        <w:t>应急指挥部可根据实际情况，依据应急指挥部各成员单位的职责，成立综合协调、专业处置、信息宣传、治安维护、应急保障、专家咨询等工作组，开展应对工作。</w:t>
      </w:r>
    </w:p>
    <w:p>
      <w:pPr>
        <w:pStyle w:val="3"/>
        <w:snapToGrid w:val="0"/>
        <w:spacing w:line="560" w:lineRule="exact"/>
        <w:ind w:firstLine="643"/>
        <w:rPr>
          <w:b w:val="0"/>
        </w:rPr>
      </w:pPr>
      <w:bookmarkStart w:id="1497" w:name="_Toc4485"/>
      <w:bookmarkStart w:id="1498" w:name="_Toc5916"/>
      <w:bookmarkStart w:id="1499" w:name="_Toc2997"/>
      <w:bookmarkStart w:id="1500" w:name="_Toc1158"/>
      <w:bookmarkStart w:id="1501" w:name="_Toc25058"/>
      <w:bookmarkStart w:id="1502" w:name="_Toc12185"/>
      <w:bookmarkStart w:id="1503" w:name="_Toc31076"/>
      <w:bookmarkStart w:id="1504" w:name="_Toc8193"/>
      <w:bookmarkStart w:id="1505" w:name="_Toc23564"/>
      <w:bookmarkStart w:id="1506" w:name="_Toc5933"/>
      <w:bookmarkStart w:id="1507" w:name="_Toc14298"/>
      <w:bookmarkStart w:id="1508" w:name="_Toc25266"/>
      <w:bookmarkStart w:id="1509" w:name="_Toc29757"/>
      <w:bookmarkStart w:id="1510" w:name="_Toc7336"/>
      <w:bookmarkStart w:id="1511" w:name="_Toc30995"/>
      <w:bookmarkStart w:id="1512" w:name="_Toc18860"/>
      <w:bookmarkStart w:id="1513" w:name="_Toc31157"/>
      <w:bookmarkStart w:id="1514" w:name="_Toc20470"/>
      <w:bookmarkStart w:id="1515" w:name="_Toc25148"/>
      <w:bookmarkStart w:id="1516" w:name="_Toc24452"/>
      <w:bookmarkStart w:id="1517" w:name="_Toc16086"/>
      <w:bookmarkStart w:id="1518" w:name="_Toc24240"/>
      <w:bookmarkStart w:id="1519" w:name="_Toc22900"/>
      <w:bookmarkStart w:id="1520" w:name="_Toc28832"/>
      <w:bookmarkStart w:id="1521" w:name="_Toc17010"/>
      <w:bookmarkStart w:id="1522" w:name="_Toc26775"/>
      <w:bookmarkStart w:id="1523" w:name="_Toc22120"/>
      <w:bookmarkStart w:id="1524" w:name="_Toc12439"/>
      <w:bookmarkStart w:id="1525" w:name="_Toc23883"/>
      <w:bookmarkStart w:id="1526" w:name="_Toc8928"/>
      <w:bookmarkStart w:id="1527" w:name="_Toc21930"/>
      <w:bookmarkStart w:id="1528" w:name="_Toc2286"/>
      <w:bookmarkStart w:id="1529" w:name="_Toc5517"/>
      <w:bookmarkStart w:id="1530" w:name="_Toc1988"/>
      <w:bookmarkStart w:id="1531" w:name="_Toc24629"/>
      <w:bookmarkStart w:id="1532" w:name="_Toc16539_WPSOffice_Level2"/>
      <w:bookmarkStart w:id="1533" w:name="_Toc12765"/>
      <w:bookmarkStart w:id="1534" w:name="_Toc2810"/>
      <w:bookmarkStart w:id="1535" w:name="_Toc26286"/>
      <w:r>
        <w:rPr>
          <w:rFonts w:hint="eastAsia"/>
          <w:bCs w:val="0"/>
        </w:rPr>
        <w:t>5.5　处置措施</w:t>
      </w:r>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p>
    <w:p>
      <w:pPr>
        <w:snapToGrid w:val="0"/>
        <w:ind w:firstLine="643"/>
        <w:rPr>
          <w:rFonts w:ascii="仿宋_GB2312" w:hAnsi="仿宋_GB2312" w:cs="仿宋_GB2312"/>
          <w:bCs/>
        </w:rPr>
      </w:pPr>
      <w:r>
        <w:rPr>
          <w:rFonts w:hint="eastAsia" w:ascii="仿宋_GB2312" w:hAnsi="仿宋_GB2312" w:cs="仿宋_GB2312"/>
          <w:b/>
        </w:rPr>
        <w:t>5.5.1</w:t>
      </w:r>
      <w:r>
        <w:rPr>
          <w:rFonts w:hint="eastAsia" w:ascii="仿宋_GB2312" w:hAnsi="仿宋_GB2312" w:cs="仿宋_GB2312"/>
          <w:bCs/>
        </w:rPr>
        <w:t xml:space="preserve">  各部门按照本预案要求在职责范围内指导防范处置工作，及时阻隔风险源，防止风险进一步扩散。</w:t>
      </w:r>
    </w:p>
    <w:p>
      <w:pPr>
        <w:snapToGrid w:val="0"/>
        <w:ind w:firstLine="643"/>
        <w:rPr>
          <w:rFonts w:ascii="仿宋_GB2312" w:hAnsi="仿宋_GB2312" w:cs="仿宋_GB2312"/>
          <w:bCs/>
          <w:color w:val="FF0000"/>
        </w:rPr>
      </w:pPr>
      <w:r>
        <w:rPr>
          <w:rFonts w:ascii="仿宋_GB2312" w:hAnsi="仿宋_GB2312" w:cs="仿宋_GB2312"/>
          <w:b/>
        </w:rPr>
        <w:t>5.5.2</w:t>
      </w:r>
      <w:r>
        <w:rPr>
          <w:rFonts w:hint="eastAsia" w:ascii="仿宋_GB2312" w:hAnsi="仿宋_GB2312" w:cs="仿宋_GB2312"/>
          <w:bCs/>
        </w:rPr>
        <w:t xml:space="preserve"> </w:t>
      </w:r>
      <w:r>
        <w:rPr>
          <w:rFonts w:hint="eastAsia" w:ascii="仿宋_GB2312" w:hAnsi="仿宋_GB2312" w:cs="仿宋_GB2312"/>
          <w:bCs/>
          <w:color w:val="FF0000"/>
        </w:rPr>
        <w:t xml:space="preserve"> </w:t>
      </w:r>
      <w:r>
        <w:rPr>
          <w:rFonts w:hint="eastAsia" w:ascii="仿宋_GB2312" w:hAnsi="仿宋_GB2312" w:cs="仿宋_GB2312"/>
          <w:bCs/>
          <w:color w:val="000000" w:themeColor="text1"/>
          <w14:textFill>
            <w14:solidFill>
              <w14:schemeClr w14:val="tx1"/>
            </w14:solidFill>
          </w14:textFill>
        </w:rPr>
        <w:t>事发金融机构能进行自救或同业援助的，金融</w:t>
      </w:r>
      <w:r>
        <w:rPr>
          <w:rFonts w:hint="eastAsia"/>
          <w:color w:val="000000" w:themeColor="text1"/>
          <w14:textFill>
            <w14:solidFill>
              <w14:schemeClr w14:val="tx1"/>
            </w14:solidFill>
          </w14:textFill>
        </w:rPr>
        <w:t>管理</w:t>
      </w:r>
      <w:r>
        <w:rPr>
          <w:rFonts w:hint="eastAsia" w:ascii="仿宋_GB2312" w:hAnsi="仿宋_GB2312" w:cs="仿宋_GB2312"/>
          <w:bCs/>
          <w:color w:val="000000" w:themeColor="text1"/>
          <w14:textFill>
            <w14:solidFill>
              <w14:schemeClr w14:val="tx1"/>
            </w14:solidFill>
          </w14:textFill>
        </w:rPr>
        <w:t>（监管）部门应积极创造有利条件，督促事发金融机构积极采取各种自救措施，并做好同业援助的配合工作。</w:t>
      </w:r>
    </w:p>
    <w:p>
      <w:pPr>
        <w:snapToGrid w:val="0"/>
        <w:ind w:firstLine="643"/>
        <w:rPr>
          <w:rFonts w:ascii="仿宋_GB2312" w:hAnsi="仿宋_GB2312" w:cs="仿宋_GB2312"/>
          <w:bCs/>
        </w:rPr>
      </w:pPr>
      <w:r>
        <w:rPr>
          <w:rFonts w:ascii="仿宋_GB2312" w:hAnsi="仿宋_GB2312" w:cs="仿宋_GB2312"/>
          <w:b/>
        </w:rPr>
        <w:t>5.5.3</w:t>
      </w:r>
      <w:r>
        <w:rPr>
          <w:rFonts w:hint="eastAsia" w:ascii="仿宋_GB2312" w:hAnsi="仿宋_GB2312" w:cs="仿宋_GB2312"/>
          <w:bCs/>
        </w:rPr>
        <w:t xml:space="preserve">  对易引发社会恐慌的金融突发事件，及时采取必要稳控措施，防止事件进一步扩大。</w:t>
      </w:r>
    </w:p>
    <w:p>
      <w:pPr>
        <w:snapToGrid w:val="0"/>
        <w:ind w:firstLine="643"/>
        <w:rPr>
          <w:rFonts w:ascii="仿宋_GB2312" w:hAnsi="仿宋_GB2312" w:cs="仿宋_GB2312"/>
          <w:bCs/>
        </w:rPr>
      </w:pPr>
      <w:r>
        <w:rPr>
          <w:rFonts w:ascii="仿宋_GB2312" w:hAnsi="仿宋_GB2312" w:cs="仿宋_GB2312"/>
          <w:b/>
        </w:rPr>
        <w:t>5.5.4</w:t>
      </w:r>
      <w:r>
        <w:rPr>
          <w:rFonts w:hint="eastAsia" w:ascii="仿宋_GB2312" w:hAnsi="仿宋_GB2312" w:cs="仿宋_GB2312"/>
          <w:bCs/>
        </w:rPr>
        <w:t xml:space="preserve">  当金融突发事件引发或可能引发群体性事件时，</w:t>
      </w:r>
      <w:r>
        <w:rPr>
          <w:rFonts w:hint="eastAsia"/>
        </w:rPr>
        <w:t>应急指挥部</w:t>
      </w:r>
      <w:r>
        <w:rPr>
          <w:rFonts w:hint="eastAsia" w:ascii="仿宋_GB2312" w:hAnsi="仿宋_GB2312" w:cs="仿宋_GB2312"/>
          <w:bCs/>
        </w:rPr>
        <w:t>办公室或相应金融管理（监管）部门根据事件发展情况，适时报请</w:t>
      </w:r>
      <w:r>
        <w:rPr>
          <w:rFonts w:hint="eastAsia"/>
        </w:rPr>
        <w:t>市</w:t>
      </w:r>
      <w:r>
        <w:rPr>
          <w:rFonts w:hint="eastAsia" w:ascii="仿宋_GB2312" w:hAnsi="仿宋_GB2312" w:cs="仿宋_GB2312"/>
          <w:bCs/>
        </w:rPr>
        <w:t>委政法委启动本市群体性事件应急预案相应处置程序，并在</w:t>
      </w:r>
      <w:r>
        <w:rPr>
          <w:rFonts w:hint="eastAsia"/>
        </w:rPr>
        <w:t>市</w:t>
      </w:r>
      <w:r>
        <w:rPr>
          <w:rFonts w:hint="eastAsia" w:ascii="仿宋_GB2312" w:hAnsi="仿宋_GB2312" w:cs="仿宋_GB2312"/>
          <w:bCs/>
        </w:rPr>
        <w:t>委政法委统一领导下开展相关应急处置工作，</w:t>
      </w:r>
      <w:r>
        <w:rPr>
          <w:rFonts w:hint="eastAsia"/>
        </w:rPr>
        <w:t>市</w:t>
      </w:r>
      <w:r>
        <w:rPr>
          <w:rFonts w:hint="eastAsia" w:ascii="仿宋_GB2312" w:hAnsi="仿宋_GB2312" w:cs="仿宋_GB2312"/>
          <w:bCs/>
        </w:rPr>
        <w:t>委政法委、</w:t>
      </w:r>
      <w:r>
        <w:rPr>
          <w:rFonts w:hint="eastAsia"/>
        </w:rPr>
        <w:t>市</w:t>
      </w:r>
      <w:r>
        <w:rPr>
          <w:rFonts w:hint="eastAsia" w:ascii="仿宋_GB2312" w:hAnsi="仿宋_GB2312" w:cs="仿宋_GB2312"/>
          <w:bCs/>
        </w:rPr>
        <w:t>公安局等相关部门发现涉群体性事件时，应及时组织处置，并加强情况通报。</w:t>
      </w:r>
    </w:p>
    <w:p>
      <w:pPr>
        <w:snapToGrid w:val="0"/>
        <w:ind w:firstLine="643"/>
        <w:rPr>
          <w:rFonts w:ascii="仿宋_GB2312" w:hAnsi="仿宋_GB2312" w:cs="仿宋_GB2312"/>
          <w:bCs/>
        </w:rPr>
      </w:pPr>
      <w:r>
        <w:rPr>
          <w:rFonts w:ascii="仿宋_GB2312" w:hAnsi="仿宋_GB2312" w:cs="仿宋_GB2312"/>
          <w:b/>
        </w:rPr>
        <w:t xml:space="preserve">5.5.5 </w:t>
      </w:r>
      <w:r>
        <w:rPr>
          <w:rFonts w:hint="eastAsia" w:ascii="仿宋_GB2312" w:hAnsi="仿宋_GB2312" w:cs="仿宋_GB2312"/>
          <w:bCs/>
        </w:rPr>
        <w:t xml:space="preserve"> 在处置金融突发事件过程中，对发现的涉嫌犯罪的线索，市公安局依法立案侦查，并采取积极有效措施，严防犯罪嫌疑人潜逃，有关部门积极配合；需派警力维持现场秩序的，市公安局指挥、协调事发地公安机关。</w:t>
      </w:r>
    </w:p>
    <w:p>
      <w:pPr>
        <w:pStyle w:val="16"/>
        <w:widowControl/>
        <w:spacing w:beforeAutospacing="0" w:afterAutospacing="0" w:line="480" w:lineRule="auto"/>
        <w:ind w:firstLine="643"/>
        <w:rPr>
          <w:rFonts w:eastAsia="楷体_GB2312" w:cstheme="minorBidi"/>
          <w:b/>
          <w:kern w:val="2"/>
          <w:sz w:val="32"/>
          <w:szCs w:val="32"/>
        </w:rPr>
      </w:pPr>
      <w:r>
        <w:rPr>
          <w:rFonts w:hint="eastAsia" w:eastAsia="楷体_GB2312" w:cstheme="minorBidi"/>
          <w:b/>
          <w:kern w:val="2"/>
          <w:sz w:val="32"/>
          <w:szCs w:val="32"/>
        </w:rPr>
        <w:t xml:space="preserve">5.6 </w:t>
      </w:r>
      <w:r>
        <w:rPr>
          <w:rFonts w:hint="eastAsia" w:ascii="仿宋_GB2312" w:hAnsi="仿宋_GB2312" w:cs="仿宋_GB2312"/>
          <w:b/>
          <w:kern w:val="2"/>
          <w:sz w:val="32"/>
        </w:rPr>
        <w:t xml:space="preserve"> </w:t>
      </w:r>
      <w:r>
        <w:rPr>
          <w:rFonts w:hint="eastAsia" w:eastAsia="楷体_GB2312" w:cstheme="minorBidi"/>
          <w:b/>
          <w:kern w:val="2"/>
          <w:sz w:val="32"/>
          <w:szCs w:val="32"/>
        </w:rPr>
        <w:t>扩大响应</w:t>
      </w:r>
    </w:p>
    <w:p>
      <w:pPr>
        <w:pStyle w:val="16"/>
        <w:widowControl/>
        <w:spacing w:beforeAutospacing="0" w:afterAutospacing="0" w:line="480" w:lineRule="auto"/>
        <w:ind w:firstLine="640"/>
      </w:pPr>
      <w:r>
        <w:rPr>
          <w:rFonts w:hint="eastAsia" w:ascii="仿宋_GB2312" w:hAnsi="仿宋_GB2312" w:cs="仿宋_GB2312"/>
          <w:bCs/>
          <w:kern w:val="2"/>
          <w:sz w:val="32"/>
        </w:rPr>
        <w:t>对先期处置未能有效控制事件发展，事态有进一步扩大趋势，现有应急处置措施难以有效处置的金融突发事件，或在事件可能波及其他地区，超出我市处置能力和范围的情况下，应急指挥部应报请市政府后向省政府请求支援。</w:t>
      </w:r>
    </w:p>
    <w:p>
      <w:pPr>
        <w:pStyle w:val="3"/>
        <w:snapToGrid w:val="0"/>
        <w:spacing w:line="560" w:lineRule="exact"/>
        <w:ind w:firstLine="643"/>
        <w:rPr>
          <w:bCs w:val="0"/>
        </w:rPr>
      </w:pPr>
      <w:bookmarkStart w:id="1536" w:name="_Toc20443"/>
      <w:bookmarkStart w:id="1537" w:name="_Toc8353"/>
      <w:bookmarkStart w:id="1538" w:name="_Toc7359"/>
      <w:bookmarkStart w:id="1539" w:name="_Toc16949"/>
      <w:bookmarkStart w:id="1540" w:name="_Toc611"/>
      <w:bookmarkStart w:id="1541" w:name="_Toc23694"/>
      <w:bookmarkStart w:id="1542" w:name="_Toc28049"/>
      <w:bookmarkStart w:id="1543" w:name="_Toc29038"/>
      <w:bookmarkStart w:id="1544" w:name="_Toc11409"/>
      <w:bookmarkStart w:id="1545" w:name="_Toc5257"/>
      <w:bookmarkStart w:id="1546" w:name="_Toc3541"/>
      <w:bookmarkStart w:id="1547" w:name="_Toc26617"/>
      <w:bookmarkStart w:id="1548" w:name="_Toc28296"/>
      <w:bookmarkStart w:id="1549" w:name="_Toc27791"/>
      <w:bookmarkStart w:id="1550" w:name="_Toc8725"/>
      <w:bookmarkStart w:id="1551" w:name="_Toc1637"/>
      <w:bookmarkStart w:id="1552" w:name="_Toc19463"/>
      <w:bookmarkStart w:id="1553" w:name="_Toc9783"/>
      <w:bookmarkStart w:id="1554" w:name="_Toc16606"/>
      <w:bookmarkStart w:id="1555" w:name="_Toc15499_WPSOffice_Level2"/>
      <w:bookmarkStart w:id="1556" w:name="_Toc11041"/>
      <w:bookmarkStart w:id="1557" w:name="_Toc23905"/>
      <w:bookmarkStart w:id="1558" w:name="_Toc17069"/>
      <w:bookmarkStart w:id="1559" w:name="_Toc19314"/>
      <w:bookmarkStart w:id="1560" w:name="_Toc29503"/>
      <w:bookmarkStart w:id="1561" w:name="_Toc25014"/>
      <w:bookmarkStart w:id="1562" w:name="_Toc22555"/>
      <w:bookmarkStart w:id="1563" w:name="_Toc21198"/>
      <w:bookmarkStart w:id="1564" w:name="_Toc12218"/>
      <w:bookmarkStart w:id="1565" w:name="_Toc17425"/>
      <w:bookmarkStart w:id="1566" w:name="_Toc22378"/>
      <w:bookmarkStart w:id="1567" w:name="_Toc3802"/>
      <w:bookmarkStart w:id="1568" w:name="_Toc12243"/>
      <w:bookmarkStart w:id="1569" w:name="_Toc14211"/>
      <w:bookmarkStart w:id="1570" w:name="_Toc17016"/>
      <w:bookmarkStart w:id="1571" w:name="_Toc22420"/>
      <w:bookmarkStart w:id="1572" w:name="_Toc13569"/>
      <w:bookmarkStart w:id="1573" w:name="_Toc3116"/>
      <w:bookmarkStart w:id="1574" w:name="_Toc30271"/>
      <w:r>
        <w:rPr>
          <w:rFonts w:hint="eastAsia"/>
          <w:bCs w:val="0"/>
        </w:rPr>
        <w:t>5.7　信息发布</w:t>
      </w:r>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r>
        <w:rPr>
          <w:rFonts w:hint="eastAsia"/>
          <w:bCs w:val="0"/>
        </w:rPr>
        <w:t>和舆情引导</w:t>
      </w:r>
    </w:p>
    <w:p>
      <w:pPr>
        <w:snapToGrid w:val="0"/>
        <w:ind w:firstLine="643"/>
        <w:rPr>
          <w:bCs/>
        </w:rPr>
      </w:pPr>
      <w:r>
        <w:rPr>
          <w:rFonts w:ascii="仿宋_GB2312" w:hAnsi="仿宋_GB2312" w:cs="仿宋_GB2312"/>
          <w:b/>
        </w:rPr>
        <w:t>5.</w:t>
      </w:r>
      <w:r>
        <w:rPr>
          <w:rFonts w:hint="eastAsia" w:ascii="仿宋_GB2312" w:hAnsi="仿宋_GB2312" w:cs="仿宋_GB2312"/>
          <w:b/>
        </w:rPr>
        <w:t>7</w:t>
      </w:r>
      <w:r>
        <w:rPr>
          <w:rFonts w:ascii="仿宋_GB2312" w:hAnsi="仿宋_GB2312" w:cs="仿宋_GB2312"/>
          <w:b/>
        </w:rPr>
        <w:t>.1</w:t>
      </w:r>
      <w:r>
        <w:rPr>
          <w:rFonts w:hint="eastAsia"/>
          <w:bCs/>
        </w:rPr>
        <w:t xml:space="preserve">  金融突发事件的信息发布及报道应遵循依法、及时、准确、客观的原则。市、区金融突发事件应急指挥部要在突发事件发生后按照有关规定通过报纸、电视、广播、网络等向社会发布基本情况，随后发布初步核实情况、事态进展、政府应对措施和公众安全防范措施等，根据事件处置情况做好后续发布工作。 </w:t>
      </w:r>
    </w:p>
    <w:p>
      <w:pPr>
        <w:snapToGrid w:val="0"/>
        <w:ind w:firstLine="643"/>
        <w:rPr>
          <w:bCs/>
        </w:rPr>
      </w:pPr>
      <w:r>
        <w:rPr>
          <w:rFonts w:ascii="仿宋_GB2312" w:hAnsi="仿宋_GB2312" w:cs="仿宋_GB2312"/>
          <w:b/>
        </w:rPr>
        <w:t>5.</w:t>
      </w:r>
      <w:r>
        <w:rPr>
          <w:rFonts w:hint="eastAsia" w:ascii="仿宋_GB2312" w:hAnsi="仿宋_GB2312" w:cs="仿宋_GB2312"/>
          <w:b/>
        </w:rPr>
        <w:t>7</w:t>
      </w:r>
      <w:r>
        <w:rPr>
          <w:rFonts w:ascii="仿宋_GB2312" w:hAnsi="仿宋_GB2312" w:cs="仿宋_GB2312"/>
          <w:b/>
        </w:rPr>
        <w:t>.</w:t>
      </w:r>
      <w:r>
        <w:rPr>
          <w:rFonts w:hint="eastAsia" w:ascii="仿宋_GB2312" w:hAnsi="仿宋_GB2312" w:cs="仿宋_GB2312"/>
          <w:b/>
        </w:rPr>
        <w:t xml:space="preserve">2  </w:t>
      </w:r>
      <w:r>
        <w:rPr>
          <w:rFonts w:hint="eastAsia"/>
          <w:bCs/>
        </w:rPr>
        <w:t>特别重大金融突发事件、重大金融突发事件（即I级、II级）的信息发布工作，由市委宣传部报请上级宣传部门组织协调发布。</w:t>
      </w:r>
    </w:p>
    <w:p>
      <w:pPr>
        <w:snapToGrid w:val="0"/>
        <w:ind w:firstLine="643"/>
        <w:rPr>
          <w:bCs/>
        </w:rPr>
      </w:pPr>
      <w:r>
        <w:rPr>
          <w:rFonts w:ascii="仿宋_GB2312" w:hAnsi="仿宋_GB2312" w:cs="仿宋_GB2312"/>
          <w:b/>
        </w:rPr>
        <w:t>5.</w:t>
      </w:r>
      <w:r>
        <w:rPr>
          <w:rFonts w:hint="eastAsia" w:ascii="仿宋_GB2312" w:hAnsi="仿宋_GB2312" w:cs="仿宋_GB2312"/>
          <w:b/>
        </w:rPr>
        <w:t>7</w:t>
      </w:r>
      <w:r>
        <w:rPr>
          <w:rFonts w:ascii="仿宋_GB2312" w:hAnsi="仿宋_GB2312" w:cs="仿宋_GB2312"/>
          <w:b/>
        </w:rPr>
        <w:t>.</w:t>
      </w:r>
      <w:r>
        <w:rPr>
          <w:rFonts w:hint="eastAsia" w:ascii="仿宋_GB2312" w:hAnsi="仿宋_GB2312" w:cs="仿宋_GB2312"/>
          <w:b/>
        </w:rPr>
        <w:t xml:space="preserve">3  </w:t>
      </w:r>
      <w:r>
        <w:rPr>
          <w:rFonts w:hint="eastAsia"/>
          <w:bCs/>
        </w:rPr>
        <w:t>较大金融突发事件（即III级）的信息发布工作，由市委宣传部会同应急指挥部办公室、相关金融管理（监管）部门管理与协调。市委宣传部牵头负责金融突发事件的新闻发布组织、采访管理，及时、准确、客观、全面发布金融突发事件信息。</w:t>
      </w:r>
    </w:p>
    <w:p>
      <w:pPr>
        <w:snapToGrid w:val="0"/>
        <w:ind w:firstLine="643"/>
        <w:rPr>
          <w:bCs/>
        </w:rPr>
      </w:pPr>
      <w:r>
        <w:rPr>
          <w:rFonts w:ascii="仿宋_GB2312" w:hAnsi="仿宋_GB2312" w:cs="仿宋_GB2312"/>
          <w:b/>
        </w:rPr>
        <w:t>5.</w:t>
      </w:r>
      <w:r>
        <w:rPr>
          <w:rFonts w:hint="eastAsia" w:ascii="仿宋_GB2312" w:hAnsi="仿宋_GB2312" w:cs="仿宋_GB2312"/>
          <w:b/>
        </w:rPr>
        <w:t>7</w:t>
      </w:r>
      <w:r>
        <w:rPr>
          <w:rFonts w:ascii="仿宋_GB2312" w:hAnsi="仿宋_GB2312" w:cs="仿宋_GB2312"/>
          <w:b/>
        </w:rPr>
        <w:t>.</w:t>
      </w:r>
      <w:r>
        <w:rPr>
          <w:rFonts w:hint="eastAsia" w:ascii="仿宋_GB2312" w:hAnsi="仿宋_GB2312" w:cs="仿宋_GB2312"/>
          <w:b/>
        </w:rPr>
        <w:t xml:space="preserve">4  </w:t>
      </w:r>
      <w:r>
        <w:rPr>
          <w:rFonts w:hint="eastAsia"/>
          <w:bCs/>
        </w:rPr>
        <w:t>一般金融突发事件（即IV级）的信息发布工作，由相关各区、金融管理（监管）部门负责管理与协调，并报告应急指挥部办公室。</w:t>
      </w:r>
    </w:p>
    <w:p>
      <w:pPr>
        <w:snapToGrid w:val="0"/>
        <w:ind w:firstLine="643"/>
        <w:rPr>
          <w:bCs/>
        </w:rPr>
      </w:pPr>
      <w:r>
        <w:rPr>
          <w:rFonts w:ascii="仿宋_GB2312" w:hAnsi="仿宋_GB2312" w:cs="仿宋_GB2312"/>
          <w:b/>
        </w:rPr>
        <w:t>5.</w:t>
      </w:r>
      <w:r>
        <w:rPr>
          <w:rFonts w:hint="eastAsia" w:ascii="仿宋_GB2312" w:hAnsi="仿宋_GB2312" w:cs="仿宋_GB2312"/>
          <w:b/>
        </w:rPr>
        <w:t>7</w:t>
      </w:r>
      <w:r>
        <w:rPr>
          <w:rFonts w:ascii="仿宋_GB2312" w:hAnsi="仿宋_GB2312" w:cs="仿宋_GB2312"/>
          <w:b/>
        </w:rPr>
        <w:t>.</w:t>
      </w:r>
      <w:r>
        <w:rPr>
          <w:rFonts w:hint="eastAsia" w:ascii="仿宋_GB2312" w:hAnsi="仿宋_GB2312" w:cs="仿宋_GB2312"/>
          <w:b/>
        </w:rPr>
        <w:t>5</w:t>
      </w:r>
      <w:r>
        <w:rPr>
          <w:rFonts w:ascii="仿宋_GB2312" w:hAnsi="仿宋_GB2312" w:cs="仿宋_GB2312"/>
          <w:b/>
        </w:rPr>
        <w:t xml:space="preserve"> </w:t>
      </w:r>
      <w:r>
        <w:rPr>
          <w:rFonts w:hint="eastAsia"/>
          <w:bCs/>
        </w:rPr>
        <w:t xml:space="preserve"> 金融突发事件发生后，相关金融管理（监管）部门及时向市委宣传部通报相关情况，并及时抄送应急指挥部办公室。</w:t>
      </w:r>
    </w:p>
    <w:p>
      <w:pPr>
        <w:snapToGrid w:val="0"/>
        <w:ind w:firstLine="643"/>
        <w:rPr>
          <w:bCs/>
        </w:rPr>
      </w:pPr>
      <w:r>
        <w:rPr>
          <w:rFonts w:ascii="仿宋_GB2312" w:hAnsi="仿宋_GB2312" w:cs="仿宋_GB2312"/>
          <w:b/>
        </w:rPr>
        <w:t>5.</w:t>
      </w:r>
      <w:r>
        <w:rPr>
          <w:rFonts w:hint="eastAsia" w:ascii="仿宋_GB2312" w:hAnsi="仿宋_GB2312" w:cs="仿宋_GB2312"/>
          <w:b/>
        </w:rPr>
        <w:t>7</w:t>
      </w:r>
      <w:r>
        <w:rPr>
          <w:rFonts w:ascii="仿宋_GB2312" w:hAnsi="仿宋_GB2312" w:cs="仿宋_GB2312"/>
          <w:b/>
        </w:rPr>
        <w:t>.</w:t>
      </w:r>
      <w:r>
        <w:rPr>
          <w:rFonts w:hint="eastAsia" w:ascii="仿宋_GB2312" w:hAnsi="仿宋_GB2312" w:cs="仿宋_GB2312"/>
          <w:b/>
        </w:rPr>
        <w:t>6</w:t>
      </w:r>
      <w:r>
        <w:rPr>
          <w:rFonts w:hint="eastAsia"/>
          <w:bCs/>
        </w:rPr>
        <w:t xml:space="preserve">  对于可能产生国际影响的金融突发事件，对外报道工作由市委宣传部、市港澳办、市台办、市外办和应急指挥部办公室共同组织。</w:t>
      </w:r>
    </w:p>
    <w:p>
      <w:pPr>
        <w:pStyle w:val="2"/>
        <w:ind w:firstLine="643"/>
        <w:rPr>
          <w:rFonts w:hint="default" w:ascii="Times New Roman" w:hAnsi="Times New Roman" w:eastAsia="仿宋_GB2312" w:cstheme="minorBidi"/>
          <w:b w:val="0"/>
          <w:bCs/>
          <w:kern w:val="2"/>
          <w:szCs w:val="22"/>
        </w:rPr>
      </w:pPr>
      <w:r>
        <w:rPr>
          <w:rFonts w:hint="default" w:ascii="仿宋_GB2312" w:hAnsi="仿宋_GB2312" w:cs="仿宋_GB2312"/>
        </w:rPr>
        <w:t>5.</w:t>
      </w:r>
      <w:r>
        <w:rPr>
          <w:rFonts w:ascii="仿宋_GB2312" w:hAnsi="仿宋_GB2312" w:cs="仿宋_GB2312"/>
        </w:rPr>
        <w:t>7</w:t>
      </w:r>
      <w:r>
        <w:rPr>
          <w:rFonts w:hint="default" w:ascii="仿宋_GB2312" w:hAnsi="仿宋_GB2312" w:cs="仿宋_GB2312"/>
        </w:rPr>
        <w:t>.</w:t>
      </w:r>
      <w:r>
        <w:rPr>
          <w:rFonts w:ascii="仿宋_GB2312" w:hAnsi="仿宋_GB2312" w:cs="仿宋_GB2312"/>
        </w:rPr>
        <w:t xml:space="preserve">7  </w:t>
      </w:r>
      <w:r>
        <w:rPr>
          <w:rFonts w:ascii="Times New Roman" w:hAnsi="Times New Roman" w:eastAsia="仿宋_GB2312" w:cstheme="minorBidi"/>
          <w:b w:val="0"/>
          <w:bCs/>
          <w:kern w:val="2"/>
          <w:szCs w:val="22"/>
        </w:rPr>
        <w:t>金融突发事件发生后，市、区金融突发事件应急指挥部要组织好网络和媒体的舆情引导，及时回应群众关切。</w:t>
      </w:r>
    </w:p>
    <w:p>
      <w:pPr>
        <w:pStyle w:val="3"/>
        <w:snapToGrid w:val="0"/>
        <w:spacing w:line="560" w:lineRule="exact"/>
        <w:ind w:firstLine="643"/>
        <w:rPr>
          <w:bCs w:val="0"/>
        </w:rPr>
      </w:pPr>
      <w:bookmarkStart w:id="1575" w:name="_Toc15234"/>
      <w:bookmarkStart w:id="1576" w:name="_Toc23026"/>
      <w:bookmarkStart w:id="1577" w:name="_Toc32344"/>
      <w:bookmarkStart w:id="1578" w:name="_Toc2631_WPSOffice_Level2"/>
      <w:bookmarkStart w:id="1579" w:name="_Toc22218"/>
      <w:bookmarkStart w:id="1580" w:name="_Toc27987"/>
      <w:bookmarkStart w:id="1581" w:name="_Toc19808"/>
      <w:bookmarkStart w:id="1582" w:name="_Toc17385"/>
      <w:bookmarkStart w:id="1583" w:name="_Toc15097"/>
      <w:bookmarkStart w:id="1584" w:name="_Toc14765"/>
      <w:bookmarkStart w:id="1585" w:name="_Toc13554"/>
      <w:bookmarkStart w:id="1586" w:name="_Toc30646"/>
      <w:bookmarkStart w:id="1587" w:name="_Toc9328"/>
      <w:bookmarkStart w:id="1588" w:name="_Toc2428"/>
      <w:bookmarkStart w:id="1589" w:name="_Toc16060"/>
      <w:bookmarkStart w:id="1590" w:name="_Toc5370"/>
      <w:bookmarkStart w:id="1591" w:name="_Toc29391"/>
      <w:bookmarkStart w:id="1592" w:name="_Toc7670"/>
      <w:bookmarkStart w:id="1593" w:name="_Toc19411"/>
      <w:bookmarkStart w:id="1594" w:name="_Toc31495"/>
      <w:bookmarkStart w:id="1595" w:name="_Toc22709"/>
      <w:bookmarkStart w:id="1596" w:name="_Toc4844"/>
      <w:bookmarkStart w:id="1597" w:name="_Toc30381"/>
      <w:bookmarkStart w:id="1598" w:name="_Toc3079"/>
      <w:bookmarkStart w:id="1599" w:name="_Toc25579"/>
      <w:bookmarkStart w:id="1600" w:name="_Toc7527"/>
      <w:bookmarkStart w:id="1601" w:name="_Toc23877"/>
      <w:bookmarkStart w:id="1602" w:name="_Toc29474"/>
      <w:bookmarkStart w:id="1603" w:name="_Toc25625"/>
      <w:bookmarkStart w:id="1604" w:name="_Toc17255"/>
      <w:bookmarkStart w:id="1605" w:name="_Toc3495"/>
      <w:bookmarkStart w:id="1606" w:name="_Toc17487"/>
      <w:bookmarkStart w:id="1607" w:name="_Toc17470"/>
      <w:bookmarkStart w:id="1608" w:name="_Toc7600"/>
      <w:bookmarkStart w:id="1609" w:name="_Toc21016"/>
      <w:bookmarkStart w:id="1610" w:name="_Toc11286"/>
      <w:bookmarkStart w:id="1611" w:name="_Toc1500"/>
      <w:bookmarkStart w:id="1612" w:name="_Toc4174"/>
      <w:bookmarkStart w:id="1613" w:name="_Toc12670"/>
      <w:r>
        <w:rPr>
          <w:rFonts w:hint="eastAsia"/>
          <w:bCs w:val="0"/>
        </w:rPr>
        <w:t>5.8　应急结束</w:t>
      </w:r>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p>
    <w:p>
      <w:pPr>
        <w:snapToGrid w:val="0"/>
        <w:ind w:firstLine="643"/>
        <w:rPr>
          <w:bCs/>
        </w:rPr>
      </w:pPr>
      <w:r>
        <w:rPr>
          <w:rFonts w:hint="eastAsia" w:ascii="仿宋_GB2312" w:hAnsi="仿宋_GB2312" w:cs="仿宋_GB2312"/>
          <w:b/>
          <w:szCs w:val="32"/>
        </w:rPr>
        <w:t>5.8.1</w:t>
      </w:r>
      <w:r>
        <w:rPr>
          <w:rFonts w:hint="eastAsia"/>
          <w:bCs/>
        </w:rPr>
        <w:t xml:space="preserve">  金融突发事件处置工作已基本完成，次生、衍生事件危害基本得到控制，应急处置工作即告结束。</w:t>
      </w:r>
    </w:p>
    <w:p>
      <w:pPr>
        <w:snapToGrid w:val="0"/>
        <w:ind w:firstLine="643"/>
        <w:rPr>
          <w:bCs/>
        </w:rPr>
      </w:pPr>
      <w:r>
        <w:rPr>
          <w:rFonts w:hint="eastAsia" w:ascii="仿宋_GB2312" w:hAnsi="仿宋_GB2312" w:cs="仿宋_GB2312"/>
          <w:b/>
          <w:szCs w:val="32"/>
        </w:rPr>
        <w:t>5.8.2</w:t>
      </w:r>
      <w:r>
        <w:rPr>
          <w:rFonts w:hint="eastAsia"/>
          <w:bCs/>
        </w:rPr>
        <w:t xml:space="preserve">  Ⅳ级响应的金融突发事件，由启动应急响应的金融管理（监管）部门宣布应急结束，并通报参与事件处置的相关单位。</w:t>
      </w:r>
    </w:p>
    <w:p>
      <w:pPr>
        <w:snapToGrid w:val="0"/>
        <w:ind w:firstLine="643"/>
        <w:rPr>
          <w:bCs/>
        </w:rPr>
      </w:pPr>
      <w:r>
        <w:rPr>
          <w:rFonts w:hint="eastAsia" w:ascii="仿宋_GB2312" w:hAnsi="仿宋_GB2312" w:cs="仿宋_GB2312"/>
          <w:b/>
          <w:szCs w:val="32"/>
        </w:rPr>
        <w:t xml:space="preserve">5.8.3 </w:t>
      </w:r>
      <w:r>
        <w:rPr>
          <w:rFonts w:hint="eastAsia"/>
          <w:bCs/>
        </w:rPr>
        <w:t xml:space="preserve"> Ⅲ级及以上响应的金融突发事件，应急指挥部办公室报经市领导批准，宣布应急结束，并通报参与事件处置的相关单位。</w:t>
      </w:r>
    </w:p>
    <w:p>
      <w:pPr>
        <w:pStyle w:val="3"/>
        <w:snapToGrid w:val="0"/>
        <w:spacing w:line="560" w:lineRule="exact"/>
        <w:ind w:firstLine="643"/>
        <w:rPr>
          <w:bCs w:val="0"/>
        </w:rPr>
      </w:pPr>
      <w:bookmarkStart w:id="1614" w:name="_Toc15916"/>
      <w:bookmarkStart w:id="1615" w:name="_Toc17782"/>
      <w:bookmarkStart w:id="1616" w:name="_Toc7924"/>
      <w:bookmarkStart w:id="1617" w:name="_Toc21992"/>
      <w:bookmarkStart w:id="1618" w:name="_Toc1284"/>
      <w:bookmarkStart w:id="1619" w:name="_Toc30105"/>
      <w:bookmarkStart w:id="1620" w:name="_Toc30324"/>
      <w:bookmarkStart w:id="1621" w:name="_Toc13435"/>
      <w:bookmarkStart w:id="1622" w:name="_Toc6268"/>
      <w:bookmarkStart w:id="1623" w:name="_Toc17433"/>
      <w:bookmarkStart w:id="1624" w:name="_Toc6272"/>
      <w:bookmarkStart w:id="1625" w:name="_Toc20388"/>
      <w:bookmarkStart w:id="1626" w:name="_Toc26416"/>
      <w:bookmarkStart w:id="1627" w:name="_Toc3"/>
      <w:bookmarkStart w:id="1628" w:name="_Toc22835"/>
      <w:bookmarkStart w:id="1629" w:name="_Toc20916"/>
      <w:bookmarkStart w:id="1630" w:name="_Toc13857"/>
      <w:bookmarkStart w:id="1631" w:name="_Toc2214"/>
      <w:bookmarkStart w:id="1632" w:name="_Toc28767"/>
      <w:bookmarkStart w:id="1633" w:name="_Toc5387"/>
      <w:bookmarkStart w:id="1634" w:name="_Toc15498"/>
      <w:bookmarkStart w:id="1635" w:name="_Toc28134"/>
      <w:bookmarkStart w:id="1636" w:name="_Toc10852"/>
      <w:bookmarkStart w:id="1637" w:name="_Toc1762"/>
      <w:bookmarkStart w:id="1638" w:name="_Toc24012"/>
      <w:bookmarkStart w:id="1639" w:name="_Toc27776"/>
      <w:bookmarkStart w:id="1640" w:name="_Toc20152"/>
      <w:bookmarkStart w:id="1641" w:name="_Toc27221"/>
      <w:bookmarkStart w:id="1642" w:name="_Toc5273"/>
      <w:bookmarkStart w:id="1643" w:name="_Toc21025"/>
      <w:bookmarkStart w:id="1644" w:name="_Toc15910"/>
      <w:bookmarkStart w:id="1645" w:name="_Toc14159"/>
      <w:bookmarkStart w:id="1646" w:name="_Toc11687"/>
      <w:bookmarkStart w:id="1647" w:name="_Toc5854_WPSOffice_Level2"/>
      <w:bookmarkStart w:id="1648" w:name="_Toc29591"/>
      <w:bookmarkStart w:id="1649" w:name="_Toc30238"/>
      <w:bookmarkStart w:id="1650" w:name="_Toc19302"/>
      <w:bookmarkStart w:id="1651" w:name="_Toc14147"/>
      <w:bookmarkStart w:id="1652" w:name="_Toc6999"/>
      <w:r>
        <w:rPr>
          <w:rFonts w:hint="eastAsia"/>
          <w:bCs w:val="0"/>
        </w:rPr>
        <w:t>5.9　后期处置</w:t>
      </w:r>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p>
    <w:p>
      <w:pPr>
        <w:snapToGrid w:val="0"/>
        <w:ind w:firstLine="643"/>
        <w:rPr>
          <w:bCs/>
        </w:rPr>
      </w:pPr>
      <w:r>
        <w:rPr>
          <w:rFonts w:hint="eastAsia" w:ascii="仿宋_GB2312" w:hAnsi="仿宋_GB2312" w:cs="仿宋_GB2312"/>
          <w:b/>
          <w:szCs w:val="32"/>
        </w:rPr>
        <w:t>5.9.1</w:t>
      </w:r>
      <w:r>
        <w:rPr>
          <w:rFonts w:hint="eastAsia"/>
          <w:bCs/>
        </w:rPr>
        <w:t xml:space="preserve">  在</w:t>
      </w:r>
      <w:r>
        <w:rPr>
          <w:rFonts w:hint="eastAsia"/>
        </w:rPr>
        <w:t>市</w:t>
      </w:r>
      <w:r>
        <w:rPr>
          <w:rFonts w:hint="eastAsia"/>
          <w:bCs/>
        </w:rPr>
        <w:t>委、</w:t>
      </w:r>
      <w:r>
        <w:rPr>
          <w:rFonts w:hint="eastAsia"/>
        </w:rPr>
        <w:t>市</w:t>
      </w:r>
      <w:r>
        <w:rPr>
          <w:rFonts w:hint="eastAsia"/>
          <w:bCs/>
        </w:rPr>
        <w:t>政府统一领导下，按照分级响应程序的职责分工，各金融管理（监管）部门、有关单位及相关区政府负责善后恢复处置工作。必要时，成立市善后工作专班。</w:t>
      </w:r>
    </w:p>
    <w:p>
      <w:pPr>
        <w:snapToGrid w:val="0"/>
        <w:ind w:firstLine="643"/>
        <w:rPr>
          <w:bCs/>
        </w:rPr>
      </w:pPr>
      <w:r>
        <w:rPr>
          <w:rFonts w:hint="eastAsia" w:ascii="仿宋_GB2312" w:hAnsi="仿宋_GB2312" w:cs="仿宋_GB2312"/>
          <w:b/>
          <w:szCs w:val="32"/>
        </w:rPr>
        <w:t>5.9.2</w:t>
      </w:r>
      <w:r>
        <w:rPr>
          <w:rFonts w:hint="eastAsia"/>
          <w:bCs/>
        </w:rPr>
        <w:t xml:space="preserve">  金融管理（监管）部门牵头，组建金融突发事件调查组，依据相关法律、法规和规定，及时组织开展金融突发事件调查，分析事件原因，认定事件责任，提出改进措施建议，对在处置工作中有突出贡献的集体和个人，按规定给予表彰和奖励；对参与处置工作失职、渎职，造成严重后果的人员，依法追究其责任。对履行职责不力，造成不良后果和恶劣影响的单位，按规定追究负有领导责任人员的责任。</w:t>
      </w:r>
    </w:p>
    <w:p>
      <w:pPr>
        <w:snapToGrid w:val="0"/>
        <w:ind w:firstLine="643"/>
        <w:rPr>
          <w:bCs/>
        </w:rPr>
      </w:pPr>
      <w:r>
        <w:rPr>
          <w:rFonts w:hint="eastAsia" w:ascii="仿宋_GB2312" w:hAnsi="仿宋_GB2312" w:cs="仿宋_GB2312"/>
          <w:b/>
          <w:szCs w:val="32"/>
        </w:rPr>
        <w:t xml:space="preserve">5.9.3 </w:t>
      </w:r>
      <w:r>
        <w:rPr>
          <w:rFonts w:hint="eastAsia"/>
          <w:bCs/>
        </w:rPr>
        <w:t xml:space="preserve"> 金融突发事件处置完毕后，参与处置的有关单位对应急处置工作进行总结，报告</w:t>
      </w:r>
      <w:r>
        <w:rPr>
          <w:rFonts w:hint="eastAsia"/>
        </w:rPr>
        <w:t>应急指挥部</w:t>
      </w:r>
      <w:r>
        <w:rPr>
          <w:rFonts w:hint="eastAsia"/>
          <w:bCs/>
        </w:rPr>
        <w:t>办公室，由</w:t>
      </w:r>
      <w:r>
        <w:rPr>
          <w:rFonts w:hint="eastAsia"/>
        </w:rPr>
        <w:t>应急指挥部</w:t>
      </w:r>
      <w:r>
        <w:rPr>
          <w:rFonts w:hint="eastAsia"/>
          <w:bCs/>
        </w:rPr>
        <w:t>办公室组织完善相关制度，对金融突发事件防范处置进行评估和总结，并报</w:t>
      </w:r>
      <w:r>
        <w:rPr>
          <w:rFonts w:hint="eastAsia"/>
        </w:rPr>
        <w:t>市政府和省金融突发事件应急指挥部办公室</w:t>
      </w:r>
      <w:r>
        <w:rPr>
          <w:rFonts w:hint="eastAsia"/>
          <w:bCs/>
        </w:rPr>
        <w:t>。</w:t>
      </w:r>
    </w:p>
    <w:p>
      <w:pPr>
        <w:pStyle w:val="2"/>
        <w:ind w:firstLine="640"/>
        <w:rPr>
          <w:rFonts w:hint="default"/>
          <w:b w:val="0"/>
          <w:bCs/>
        </w:rPr>
      </w:pPr>
      <w:bookmarkStart w:id="1653" w:name="_Toc29966"/>
      <w:bookmarkStart w:id="1654" w:name="_Toc2432"/>
      <w:bookmarkStart w:id="1655" w:name="_Toc15496"/>
      <w:bookmarkStart w:id="1656" w:name="_Toc4613"/>
      <w:bookmarkStart w:id="1657" w:name="_Toc5083"/>
      <w:bookmarkStart w:id="1658" w:name="_Toc16653"/>
      <w:bookmarkStart w:id="1659" w:name="_Toc16374"/>
      <w:bookmarkStart w:id="1660" w:name="_Toc32566"/>
      <w:bookmarkStart w:id="1661" w:name="_Toc30256"/>
      <w:bookmarkStart w:id="1662" w:name="_Toc19806"/>
      <w:bookmarkStart w:id="1663" w:name="_Toc21626"/>
      <w:bookmarkStart w:id="1664" w:name="_Toc11028"/>
      <w:bookmarkStart w:id="1665" w:name="_Toc2850"/>
      <w:bookmarkStart w:id="1666" w:name="_Toc13052"/>
      <w:bookmarkStart w:id="1667" w:name="_Toc19343"/>
      <w:bookmarkStart w:id="1668" w:name="_Toc30397"/>
      <w:bookmarkStart w:id="1669" w:name="_Toc18993"/>
      <w:bookmarkStart w:id="1670" w:name="_Toc19490"/>
      <w:bookmarkStart w:id="1671" w:name="_Toc12655"/>
      <w:bookmarkStart w:id="1672" w:name="_Toc8370"/>
      <w:bookmarkStart w:id="1673" w:name="_Toc28194"/>
      <w:bookmarkStart w:id="1674" w:name="_Toc23511"/>
      <w:bookmarkStart w:id="1675" w:name="_Toc2855"/>
      <w:bookmarkStart w:id="1676" w:name="_Toc31967"/>
      <w:bookmarkStart w:id="1677" w:name="_Toc26117"/>
      <w:bookmarkStart w:id="1678" w:name="_Toc13811_WPSOffice_Level1"/>
      <w:bookmarkStart w:id="1679" w:name="_Toc10286"/>
      <w:bookmarkStart w:id="1680" w:name="_Toc20740"/>
      <w:bookmarkStart w:id="1681" w:name="_Toc13893"/>
      <w:bookmarkStart w:id="1682" w:name="_Toc21782"/>
      <w:bookmarkStart w:id="1683" w:name="_Toc28170"/>
      <w:bookmarkStart w:id="1684" w:name="_Toc23464"/>
      <w:bookmarkStart w:id="1685" w:name="_Toc1016"/>
      <w:bookmarkStart w:id="1686" w:name="_Toc21279"/>
      <w:bookmarkStart w:id="1687" w:name="_Toc27133"/>
      <w:bookmarkStart w:id="1688" w:name="_Toc12814"/>
      <w:bookmarkStart w:id="1689" w:name="_Toc24835"/>
      <w:bookmarkStart w:id="1690" w:name="_Toc28668"/>
      <w:bookmarkStart w:id="1691" w:name="_Toc32398"/>
      <w:r>
        <w:rPr>
          <w:b w:val="0"/>
          <w:bCs/>
        </w:rPr>
        <w:t>6　应急保障</w:t>
      </w:r>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p>
    <w:p>
      <w:pPr>
        <w:pStyle w:val="3"/>
        <w:snapToGrid w:val="0"/>
        <w:spacing w:line="560" w:lineRule="exact"/>
        <w:ind w:firstLine="643"/>
        <w:rPr>
          <w:bCs w:val="0"/>
        </w:rPr>
      </w:pPr>
      <w:bookmarkStart w:id="1692" w:name="_Toc12601"/>
      <w:bookmarkStart w:id="1693" w:name="_Toc31954"/>
      <w:bookmarkStart w:id="1694" w:name="_Toc27973"/>
      <w:bookmarkStart w:id="1695" w:name="_Toc25705"/>
      <w:bookmarkStart w:id="1696" w:name="_Toc9662"/>
      <w:bookmarkStart w:id="1697" w:name="_Toc19715"/>
      <w:bookmarkStart w:id="1698" w:name="_Toc2105"/>
      <w:bookmarkStart w:id="1699" w:name="_Toc25815"/>
      <w:bookmarkStart w:id="1700" w:name="_Toc18935"/>
      <w:bookmarkStart w:id="1701" w:name="_Toc28263"/>
      <w:bookmarkStart w:id="1702" w:name="_Toc19439"/>
      <w:bookmarkStart w:id="1703" w:name="_Toc9000"/>
      <w:bookmarkStart w:id="1704" w:name="_Toc9262"/>
      <w:bookmarkStart w:id="1705" w:name="_Toc32180"/>
      <w:bookmarkStart w:id="1706" w:name="_Toc1110"/>
      <w:bookmarkStart w:id="1707" w:name="_Toc13883"/>
      <w:bookmarkStart w:id="1708" w:name="_Toc5046"/>
      <w:bookmarkStart w:id="1709" w:name="_Toc29581"/>
      <w:bookmarkStart w:id="1710" w:name="_Toc24493"/>
      <w:bookmarkStart w:id="1711" w:name="_Toc27985"/>
      <w:bookmarkStart w:id="1712" w:name="_Toc14160"/>
      <w:bookmarkStart w:id="1713" w:name="_Toc3168"/>
      <w:bookmarkStart w:id="1714" w:name="_Toc4569"/>
      <w:bookmarkStart w:id="1715" w:name="_Toc12217"/>
      <w:bookmarkStart w:id="1716" w:name="_Toc8062"/>
      <w:bookmarkStart w:id="1717" w:name="_Toc1214"/>
      <w:bookmarkStart w:id="1718" w:name="_Toc21438"/>
      <w:bookmarkStart w:id="1719" w:name="_Toc25979"/>
      <w:bookmarkStart w:id="1720" w:name="_Toc14732"/>
      <w:bookmarkStart w:id="1721" w:name="_Toc2661"/>
      <w:bookmarkStart w:id="1722" w:name="_Toc20071"/>
      <w:bookmarkStart w:id="1723" w:name="_Toc8291_WPSOffice_Level2"/>
      <w:bookmarkStart w:id="1724" w:name="_Toc4097"/>
      <w:bookmarkStart w:id="1725" w:name="_Toc10774"/>
      <w:bookmarkStart w:id="1726" w:name="_Toc18871"/>
      <w:bookmarkStart w:id="1727" w:name="_Toc22736"/>
      <w:bookmarkStart w:id="1728" w:name="_Toc17188"/>
      <w:bookmarkStart w:id="1729" w:name="_Toc11933"/>
      <w:bookmarkStart w:id="1730" w:name="_Toc3110"/>
      <w:r>
        <w:rPr>
          <w:rFonts w:hint="eastAsia"/>
          <w:bCs w:val="0"/>
        </w:rPr>
        <w:t>6.1　资源保障</w:t>
      </w:r>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p>
    <w:p>
      <w:pPr>
        <w:pStyle w:val="5"/>
        <w:snapToGrid w:val="0"/>
        <w:ind w:firstLine="643"/>
        <w:rPr>
          <w:rFonts w:hint="default" w:ascii="仿宋_GB2312" w:hAnsi="仿宋_GB2312" w:cs="仿宋_GB2312"/>
          <w:szCs w:val="32"/>
        </w:rPr>
      </w:pPr>
      <w:bookmarkStart w:id="1731" w:name="_Toc5212"/>
      <w:bookmarkStart w:id="1732" w:name="_Toc26277"/>
      <w:bookmarkStart w:id="1733" w:name="_Toc29064"/>
      <w:bookmarkStart w:id="1734" w:name="_Toc19590"/>
      <w:bookmarkStart w:id="1735" w:name="_Toc3211"/>
      <w:bookmarkStart w:id="1736" w:name="_Toc4346"/>
      <w:bookmarkStart w:id="1737" w:name="_Toc598"/>
      <w:bookmarkStart w:id="1738" w:name="_Toc20337"/>
      <w:bookmarkStart w:id="1739" w:name="_Toc7933"/>
      <w:bookmarkStart w:id="1740" w:name="_Toc31106"/>
      <w:bookmarkStart w:id="1741" w:name="_Toc22542"/>
      <w:bookmarkStart w:id="1742" w:name="_Toc15396"/>
      <w:bookmarkStart w:id="1743" w:name="_Toc20492"/>
      <w:bookmarkStart w:id="1744" w:name="_Toc18963"/>
      <w:bookmarkStart w:id="1745" w:name="_Toc15997"/>
      <w:bookmarkStart w:id="1746" w:name="_Toc22336"/>
      <w:r>
        <w:rPr>
          <w:rFonts w:ascii="仿宋_GB2312" w:hAnsi="仿宋_GB2312" w:cs="仿宋_GB2312"/>
          <w:szCs w:val="32"/>
        </w:rPr>
        <w:t>6.1.1  通信保障</w:t>
      </w:r>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p>
    <w:p>
      <w:pPr>
        <w:snapToGrid w:val="0"/>
        <w:ind w:firstLine="596"/>
        <w:rPr>
          <w:rFonts w:ascii="仿宋_GB2312" w:hAnsi="宋体"/>
          <w:spacing w:val="-6"/>
          <w:sz w:val="31"/>
        </w:rPr>
      </w:pPr>
      <w:r>
        <w:rPr>
          <w:rFonts w:hint="eastAsia" w:ascii="仿宋_GB2312" w:hAnsi="宋体"/>
          <w:spacing w:val="-6"/>
          <w:sz w:val="31"/>
        </w:rPr>
        <w:t>成员单位之间应确保通信稳定畅通。所有通信及信息共享应符合有关保密规定。</w:t>
      </w:r>
    </w:p>
    <w:p>
      <w:pPr>
        <w:pStyle w:val="5"/>
        <w:snapToGrid w:val="0"/>
        <w:ind w:firstLine="643"/>
        <w:rPr>
          <w:rFonts w:hint="default" w:ascii="仿宋_GB2312" w:hAnsi="仿宋_GB2312" w:cs="仿宋_GB2312"/>
          <w:szCs w:val="32"/>
        </w:rPr>
      </w:pPr>
      <w:bookmarkStart w:id="1747" w:name="_Toc26070"/>
      <w:bookmarkStart w:id="1748" w:name="_Toc14825"/>
      <w:bookmarkStart w:id="1749" w:name="_Toc14017"/>
      <w:bookmarkStart w:id="1750" w:name="_Toc25445"/>
      <w:bookmarkStart w:id="1751" w:name="_Toc32021"/>
      <w:bookmarkStart w:id="1752" w:name="_Toc10632"/>
      <w:bookmarkStart w:id="1753" w:name="_Toc8056"/>
      <w:bookmarkStart w:id="1754" w:name="_Toc29493"/>
      <w:bookmarkStart w:id="1755" w:name="_Toc22413"/>
      <w:bookmarkStart w:id="1756" w:name="_Toc3668"/>
      <w:bookmarkStart w:id="1757" w:name="_Toc30665"/>
      <w:bookmarkStart w:id="1758" w:name="_Toc24439"/>
      <w:bookmarkStart w:id="1759" w:name="_Toc16900"/>
      <w:bookmarkStart w:id="1760" w:name="_Toc2656"/>
      <w:bookmarkStart w:id="1761" w:name="_Toc12330"/>
      <w:bookmarkStart w:id="1762" w:name="_Toc795"/>
      <w:r>
        <w:rPr>
          <w:rFonts w:ascii="仿宋_GB2312" w:hAnsi="仿宋_GB2312" w:cs="仿宋_GB2312"/>
          <w:szCs w:val="32"/>
        </w:rPr>
        <w:t>6.1.2  文电运转</w:t>
      </w:r>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p>
    <w:p>
      <w:pPr>
        <w:snapToGrid w:val="0"/>
        <w:ind w:firstLine="596"/>
        <w:rPr>
          <w:rFonts w:ascii="仿宋_GB2312" w:hAnsi="宋体"/>
          <w:spacing w:val="-6"/>
          <w:sz w:val="31"/>
        </w:rPr>
      </w:pPr>
      <w:r>
        <w:rPr>
          <w:rFonts w:hint="eastAsia" w:ascii="仿宋_GB2312" w:hAnsi="宋体"/>
          <w:spacing w:val="-6"/>
          <w:sz w:val="31"/>
        </w:rPr>
        <w:t>各有关单位、有关区人民政府根据各自职责规定，确保文电运转的安全、高效、迅速、准确。根据金融突发事件应急处置工作需要，各成员单位指定1至2名联络员，负责日常文电运转、工作联系等具体事宜。</w:t>
      </w:r>
    </w:p>
    <w:p>
      <w:pPr>
        <w:pStyle w:val="5"/>
        <w:snapToGrid w:val="0"/>
        <w:ind w:firstLine="643"/>
        <w:rPr>
          <w:rFonts w:hint="default" w:ascii="仿宋_GB2312" w:hAnsi="仿宋_GB2312" w:cs="仿宋_GB2312"/>
          <w:szCs w:val="32"/>
        </w:rPr>
      </w:pPr>
      <w:bookmarkStart w:id="1763" w:name="_Toc27522"/>
      <w:bookmarkStart w:id="1764" w:name="_Toc11137"/>
      <w:bookmarkStart w:id="1765" w:name="_Toc18883"/>
      <w:bookmarkStart w:id="1766" w:name="_Toc28786"/>
      <w:bookmarkStart w:id="1767" w:name="_Toc3452"/>
      <w:bookmarkStart w:id="1768" w:name="_Toc10900"/>
      <w:bookmarkStart w:id="1769" w:name="_Toc32627"/>
      <w:bookmarkStart w:id="1770" w:name="_Toc19112"/>
      <w:bookmarkStart w:id="1771" w:name="_Toc18048"/>
      <w:bookmarkStart w:id="1772" w:name="_Toc25680"/>
      <w:bookmarkStart w:id="1773" w:name="_Toc25801"/>
      <w:bookmarkStart w:id="1774" w:name="_Toc3885"/>
      <w:bookmarkStart w:id="1775" w:name="_Toc32114"/>
      <w:bookmarkStart w:id="1776" w:name="_Toc25771"/>
      <w:bookmarkStart w:id="1777" w:name="_Toc18306"/>
      <w:bookmarkStart w:id="1778" w:name="_Toc14735"/>
      <w:r>
        <w:rPr>
          <w:rFonts w:ascii="仿宋_GB2312" w:hAnsi="仿宋_GB2312" w:cs="仿宋_GB2312"/>
          <w:szCs w:val="32"/>
        </w:rPr>
        <w:t>6.1.3  技术保障</w:t>
      </w:r>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p>
    <w:p>
      <w:pPr>
        <w:snapToGrid w:val="0"/>
        <w:ind w:firstLine="596"/>
        <w:rPr>
          <w:rFonts w:ascii="仿宋_GB2312" w:hAnsi="宋体"/>
          <w:spacing w:val="-6"/>
          <w:sz w:val="31"/>
        </w:rPr>
      </w:pPr>
      <w:r>
        <w:rPr>
          <w:rFonts w:hint="eastAsia" w:ascii="仿宋_GB2312" w:hAnsi="宋体"/>
          <w:spacing w:val="-6"/>
          <w:sz w:val="31"/>
        </w:rPr>
        <w:t>各有关单位确保本系统计算机设备及网络系统有足够的软硬件技术支持保证，有关信息有计算机备份。要害岗位，至少有两名人员备用、替换，确保任何情况下不因人员缺岗而影响整个系统的正常运行。</w:t>
      </w:r>
    </w:p>
    <w:p>
      <w:pPr>
        <w:pStyle w:val="5"/>
        <w:snapToGrid w:val="0"/>
        <w:ind w:firstLine="643"/>
        <w:rPr>
          <w:rFonts w:hint="default" w:ascii="仿宋_GB2312" w:hAnsi="仿宋_GB2312" w:cs="仿宋_GB2312"/>
          <w:szCs w:val="32"/>
        </w:rPr>
      </w:pPr>
      <w:bookmarkStart w:id="1779" w:name="_Toc5955"/>
      <w:bookmarkStart w:id="1780" w:name="_Toc28426"/>
      <w:bookmarkStart w:id="1781" w:name="_Toc22354"/>
      <w:bookmarkStart w:id="1782" w:name="_Toc5866"/>
      <w:bookmarkStart w:id="1783" w:name="_Toc6814"/>
      <w:bookmarkStart w:id="1784" w:name="_Toc31787"/>
      <w:bookmarkStart w:id="1785" w:name="_Toc14831"/>
      <w:bookmarkStart w:id="1786" w:name="_Toc24423"/>
      <w:bookmarkStart w:id="1787" w:name="_Toc24659"/>
      <w:bookmarkStart w:id="1788" w:name="_Toc15273"/>
      <w:bookmarkStart w:id="1789" w:name="_Toc29147"/>
      <w:bookmarkStart w:id="1790" w:name="_Toc31811"/>
      <w:bookmarkStart w:id="1791" w:name="_Toc15090"/>
      <w:bookmarkStart w:id="1792" w:name="_Toc21348"/>
      <w:bookmarkStart w:id="1793" w:name="_Toc20607"/>
      <w:bookmarkStart w:id="1794" w:name="_Toc26226"/>
      <w:r>
        <w:rPr>
          <w:rFonts w:ascii="仿宋_GB2312" w:hAnsi="仿宋_GB2312" w:cs="仿宋_GB2312"/>
          <w:szCs w:val="32"/>
        </w:rPr>
        <w:t>6.1.4  安全保障</w:t>
      </w:r>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p>
    <w:p>
      <w:pPr>
        <w:snapToGrid w:val="0"/>
        <w:ind w:firstLine="640"/>
      </w:pPr>
      <w:r>
        <w:rPr>
          <w:rFonts w:hint="eastAsia"/>
        </w:rPr>
        <w:t>各有关单位确保工作场所的安全性和保密性，确保有关工作人员的人身安全。</w:t>
      </w:r>
    </w:p>
    <w:p>
      <w:pPr>
        <w:pStyle w:val="5"/>
        <w:snapToGrid w:val="0"/>
        <w:ind w:firstLine="643"/>
        <w:rPr>
          <w:rFonts w:hint="default" w:ascii="仿宋_GB2312" w:hAnsi="仿宋_GB2312" w:cs="仿宋_GB2312"/>
          <w:szCs w:val="32"/>
        </w:rPr>
      </w:pPr>
      <w:bookmarkStart w:id="1795" w:name="_Toc16555"/>
      <w:bookmarkStart w:id="1796" w:name="_Toc798"/>
      <w:bookmarkStart w:id="1797" w:name="_Toc22138"/>
      <w:bookmarkStart w:id="1798" w:name="_Toc5876"/>
      <w:bookmarkStart w:id="1799" w:name="_Toc10751"/>
      <w:bookmarkStart w:id="1800" w:name="_Toc10088"/>
      <w:bookmarkStart w:id="1801" w:name="_Toc2398"/>
      <w:bookmarkStart w:id="1802" w:name="_Toc31127"/>
      <w:bookmarkStart w:id="1803" w:name="_Toc18422"/>
      <w:bookmarkStart w:id="1804" w:name="_Toc22803"/>
      <w:bookmarkStart w:id="1805" w:name="_Toc11462"/>
      <w:bookmarkStart w:id="1806" w:name="_Toc23787"/>
      <w:bookmarkStart w:id="1807" w:name="_Toc30126"/>
      <w:bookmarkStart w:id="1808" w:name="_Toc22464"/>
      <w:bookmarkStart w:id="1809" w:name="_Toc463"/>
      <w:bookmarkStart w:id="1810" w:name="_Toc20844"/>
      <w:r>
        <w:rPr>
          <w:rFonts w:ascii="仿宋_GB2312" w:hAnsi="仿宋_GB2312" w:cs="仿宋_GB2312"/>
          <w:szCs w:val="32"/>
        </w:rPr>
        <w:t>6.1.5  人力资源</w:t>
      </w:r>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p>
    <w:p>
      <w:pPr>
        <w:snapToGrid w:val="0"/>
        <w:ind w:firstLine="596"/>
      </w:pPr>
      <w:r>
        <w:rPr>
          <w:rFonts w:hint="eastAsia" w:ascii="仿宋_GB2312" w:hAnsi="宋体"/>
          <w:spacing w:val="-6"/>
          <w:sz w:val="31"/>
        </w:rPr>
        <w:t>各有关单位</w:t>
      </w:r>
      <w:r>
        <w:rPr>
          <w:rFonts w:hint="eastAsia"/>
        </w:rPr>
        <w:t>加强应急工作队伍建设，根据工作需要及时补充人员和加强应急知识技能培训教育工作。</w:t>
      </w:r>
    </w:p>
    <w:p>
      <w:pPr>
        <w:pStyle w:val="3"/>
        <w:snapToGrid w:val="0"/>
        <w:spacing w:line="560" w:lineRule="exact"/>
        <w:ind w:firstLine="643"/>
        <w:rPr>
          <w:b w:val="0"/>
        </w:rPr>
      </w:pPr>
      <w:bookmarkStart w:id="1811" w:name="_Toc10080"/>
      <w:bookmarkStart w:id="1812" w:name="_Toc5118"/>
      <w:bookmarkStart w:id="1813" w:name="_Toc25983"/>
      <w:bookmarkStart w:id="1814" w:name="_Toc21777"/>
      <w:bookmarkStart w:id="1815" w:name="_Toc7201"/>
      <w:bookmarkStart w:id="1816" w:name="_Toc29505"/>
      <w:bookmarkStart w:id="1817" w:name="_Toc19214"/>
      <w:bookmarkStart w:id="1818" w:name="_Toc2940"/>
      <w:bookmarkStart w:id="1819" w:name="_Toc1218"/>
      <w:bookmarkStart w:id="1820" w:name="_Toc20160"/>
      <w:bookmarkStart w:id="1821" w:name="_Toc7800"/>
      <w:bookmarkStart w:id="1822" w:name="_Toc22317"/>
      <w:bookmarkStart w:id="1823" w:name="_Toc31182"/>
      <w:bookmarkStart w:id="1824" w:name="_Toc9828"/>
      <w:bookmarkStart w:id="1825" w:name="_Toc11215"/>
      <w:bookmarkStart w:id="1826" w:name="_Toc20521"/>
      <w:bookmarkStart w:id="1827" w:name="_Toc21646"/>
      <w:bookmarkStart w:id="1828" w:name="_Toc1079"/>
      <w:bookmarkStart w:id="1829" w:name="_Toc7706"/>
      <w:bookmarkStart w:id="1830" w:name="_Toc6451"/>
      <w:bookmarkStart w:id="1831" w:name="_Toc25240"/>
      <w:bookmarkStart w:id="1832" w:name="_Toc15369"/>
      <w:bookmarkStart w:id="1833" w:name="_Toc1523"/>
      <w:bookmarkStart w:id="1834" w:name="_Toc19057"/>
      <w:bookmarkStart w:id="1835" w:name="_Toc22558"/>
      <w:bookmarkStart w:id="1836" w:name="_Toc8168"/>
      <w:bookmarkStart w:id="1837" w:name="_Toc24505"/>
      <w:bookmarkStart w:id="1838" w:name="_Toc5017"/>
      <w:bookmarkStart w:id="1839" w:name="_Toc1643"/>
      <w:bookmarkStart w:id="1840" w:name="_Toc22331"/>
      <w:bookmarkStart w:id="1841" w:name="_Toc4672"/>
      <w:bookmarkStart w:id="1842" w:name="_Toc20329"/>
      <w:bookmarkStart w:id="1843" w:name="_Toc15053"/>
      <w:bookmarkStart w:id="1844" w:name="_Toc18045"/>
      <w:bookmarkStart w:id="1845" w:name="_Toc486"/>
      <w:bookmarkStart w:id="1846" w:name="_Toc27966"/>
      <w:bookmarkStart w:id="1847" w:name="_Toc5334"/>
      <w:bookmarkStart w:id="1848" w:name="_Toc8067"/>
      <w:bookmarkStart w:id="1849" w:name="_Toc998_WPSOffice_Level2"/>
      <w:r>
        <w:rPr>
          <w:rFonts w:hint="eastAsia"/>
          <w:bCs w:val="0"/>
        </w:rPr>
        <w:t>6.2　经费保障</w:t>
      </w:r>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p>
    <w:p>
      <w:pPr>
        <w:snapToGrid w:val="0"/>
        <w:ind w:firstLine="643"/>
        <w:rPr>
          <w:bCs/>
        </w:rPr>
      </w:pPr>
      <w:r>
        <w:rPr>
          <w:rFonts w:hint="eastAsia" w:ascii="仿宋_GB2312" w:hAnsi="仿宋_GB2312" w:cs="仿宋_GB2312"/>
          <w:b/>
          <w:szCs w:val="32"/>
        </w:rPr>
        <w:t>6.2.1</w:t>
      </w:r>
      <w:r>
        <w:rPr>
          <w:rFonts w:hint="eastAsia"/>
          <w:bCs/>
        </w:rPr>
        <w:t xml:space="preserve">  </w:t>
      </w:r>
      <w:r>
        <w:rPr>
          <w:rFonts w:hint="eastAsia" w:cs="Times New Roman"/>
        </w:rPr>
        <w:t>各成员单位在年度部门预算中统筹安排依职责承担的应对金融突发事件的有关工作所需经费</w:t>
      </w:r>
      <w:r>
        <w:rPr>
          <w:rFonts w:hint="eastAsia"/>
          <w:bCs/>
        </w:rPr>
        <w:t>。金融突发事件发生后，根据实际情况调整部门预算，集中财力应对金融突发事件；必要时，经</w:t>
      </w:r>
      <w:r>
        <w:rPr>
          <w:rFonts w:hint="eastAsia"/>
        </w:rPr>
        <w:t>市</w:t>
      </w:r>
      <w:r>
        <w:rPr>
          <w:rFonts w:hint="eastAsia"/>
          <w:bCs/>
        </w:rPr>
        <w:t>政府批准后，启动应对突发事件专项准备资金，动用公共财政应急储备资金。</w:t>
      </w:r>
    </w:p>
    <w:p>
      <w:pPr>
        <w:snapToGrid w:val="0"/>
        <w:ind w:firstLine="643"/>
        <w:rPr>
          <w:bCs/>
        </w:rPr>
      </w:pPr>
      <w:r>
        <w:rPr>
          <w:rFonts w:hint="eastAsia" w:ascii="仿宋_GB2312" w:hAnsi="仿宋_GB2312" w:cs="仿宋_GB2312"/>
          <w:b/>
          <w:szCs w:val="32"/>
        </w:rPr>
        <w:t xml:space="preserve">6.2.2 </w:t>
      </w:r>
      <w:r>
        <w:rPr>
          <w:rFonts w:hint="eastAsia"/>
          <w:bCs/>
        </w:rPr>
        <w:t>市、区有关部门所需的金融突发事件预防与应急准备、监测与预警、预案演练、宣传等工作经费列入部门预算，同级财政部门应当予以保障。</w:t>
      </w:r>
    </w:p>
    <w:p>
      <w:pPr>
        <w:pStyle w:val="3"/>
        <w:snapToGrid w:val="0"/>
        <w:spacing w:line="560" w:lineRule="exact"/>
        <w:ind w:firstLine="643"/>
        <w:rPr>
          <w:b w:val="0"/>
        </w:rPr>
      </w:pPr>
      <w:bookmarkStart w:id="1850" w:name="_Toc25851"/>
      <w:bookmarkStart w:id="1851" w:name="_Toc8414"/>
      <w:bookmarkStart w:id="1852" w:name="_Toc6309"/>
      <w:bookmarkStart w:id="1853" w:name="_Toc4837"/>
      <w:bookmarkStart w:id="1854" w:name="_Toc18446"/>
      <w:bookmarkStart w:id="1855" w:name="_Toc30064"/>
      <w:bookmarkStart w:id="1856" w:name="_Toc17004"/>
      <w:bookmarkStart w:id="1857" w:name="_Toc30505"/>
      <w:bookmarkStart w:id="1858" w:name="_Toc6387"/>
      <w:bookmarkStart w:id="1859" w:name="_Toc10684"/>
      <w:bookmarkStart w:id="1860" w:name="_Toc31627"/>
      <w:bookmarkStart w:id="1861" w:name="_Toc12112"/>
      <w:bookmarkStart w:id="1862" w:name="_Toc4647"/>
      <w:bookmarkStart w:id="1863" w:name="_Toc29124"/>
      <w:bookmarkStart w:id="1864" w:name="_Toc23298"/>
      <w:bookmarkStart w:id="1865" w:name="_Toc28509_WPSOffice_Level2"/>
      <w:bookmarkStart w:id="1866" w:name="_Toc31249"/>
      <w:bookmarkStart w:id="1867" w:name="_Toc27659"/>
      <w:bookmarkStart w:id="1868" w:name="_Toc28423"/>
      <w:bookmarkStart w:id="1869" w:name="_Toc2033"/>
      <w:bookmarkStart w:id="1870" w:name="_Toc26763"/>
      <w:bookmarkStart w:id="1871" w:name="_Toc12173"/>
      <w:bookmarkStart w:id="1872" w:name="_Toc5030"/>
      <w:bookmarkStart w:id="1873" w:name="_Toc30067"/>
      <w:bookmarkStart w:id="1874" w:name="_Toc25887"/>
      <w:bookmarkStart w:id="1875" w:name="_Toc32194"/>
      <w:bookmarkStart w:id="1876" w:name="_Toc15204"/>
      <w:bookmarkStart w:id="1877" w:name="_Toc12997"/>
      <w:bookmarkStart w:id="1878" w:name="_Toc982"/>
      <w:bookmarkStart w:id="1879" w:name="_Toc15133"/>
      <w:bookmarkStart w:id="1880" w:name="_Toc21842"/>
      <w:bookmarkStart w:id="1881" w:name="_Toc17809"/>
      <w:bookmarkStart w:id="1882" w:name="_Toc10362"/>
      <w:bookmarkStart w:id="1883" w:name="_Toc12960"/>
      <w:bookmarkStart w:id="1884" w:name="_Toc14042"/>
      <w:bookmarkStart w:id="1885" w:name="_Toc12479"/>
      <w:bookmarkStart w:id="1886" w:name="_Toc10029"/>
      <w:bookmarkStart w:id="1887" w:name="_Toc25136"/>
      <w:bookmarkStart w:id="1888" w:name="_Toc14986"/>
      <w:r>
        <w:rPr>
          <w:rFonts w:hint="eastAsia"/>
          <w:bCs w:val="0"/>
        </w:rPr>
        <w:t>6.3　培训宣教</w:t>
      </w:r>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p>
    <w:p>
      <w:pPr>
        <w:snapToGrid w:val="0"/>
        <w:ind w:firstLine="643"/>
      </w:pPr>
      <w:r>
        <w:rPr>
          <w:rFonts w:hint="eastAsia" w:ascii="仿宋_GB2312" w:hAnsi="仿宋_GB2312" w:cs="仿宋_GB2312"/>
          <w:b/>
          <w:szCs w:val="32"/>
        </w:rPr>
        <w:t xml:space="preserve">6.3.1 </w:t>
      </w:r>
      <w:r>
        <w:rPr>
          <w:rFonts w:hint="eastAsia"/>
        </w:rPr>
        <w:t>各成员单位和各区政府根据实际需要，定期或不定期举办防范</w:t>
      </w:r>
      <w:r>
        <w:rPr>
          <w:rFonts w:hint="eastAsia"/>
          <w:bCs/>
        </w:rPr>
        <w:t>应对金融突发事件</w:t>
      </w:r>
      <w:r>
        <w:rPr>
          <w:rFonts w:hint="eastAsia"/>
        </w:rPr>
        <w:t>培训班，采取以案说法等形式培训干部，不断提高监管和应急管理水平。</w:t>
      </w:r>
    </w:p>
    <w:p>
      <w:pPr>
        <w:snapToGrid w:val="0"/>
        <w:ind w:firstLine="643"/>
        <w:rPr>
          <w:rFonts w:ascii="宋体" w:hAnsi="宋体" w:eastAsia="宋体" w:cs="宋体"/>
          <w:bCs/>
          <w:szCs w:val="24"/>
        </w:rPr>
      </w:pPr>
      <w:r>
        <w:rPr>
          <w:rFonts w:hint="eastAsia" w:ascii="仿宋_GB2312" w:hAnsi="仿宋_GB2312" w:cs="仿宋_GB2312"/>
          <w:b/>
          <w:szCs w:val="32"/>
        </w:rPr>
        <w:t xml:space="preserve">6.3.2 </w:t>
      </w:r>
      <w:r>
        <w:rPr>
          <w:rFonts w:hint="eastAsia"/>
          <w:bCs/>
        </w:rPr>
        <w:t>金融管理（监管）部门内部组织开展相关知识培训，将综合协调、舆情管理、应急指挥、法律法规等作为重要内容；加强对金融机构和公众的宣传教育，增进金融从业人员对金融体系、金融产品及金融突发事件的认识和了解，增强公众金融意识、风险意识和监督意识。</w:t>
      </w:r>
    </w:p>
    <w:p>
      <w:pPr>
        <w:pStyle w:val="3"/>
        <w:snapToGrid w:val="0"/>
        <w:spacing w:line="560" w:lineRule="exact"/>
        <w:ind w:firstLine="643"/>
        <w:rPr>
          <w:bCs w:val="0"/>
        </w:rPr>
      </w:pPr>
      <w:bookmarkStart w:id="1889" w:name="_Toc25199"/>
      <w:bookmarkStart w:id="1890" w:name="_Toc371"/>
      <w:bookmarkStart w:id="1891" w:name="_Toc24656"/>
      <w:bookmarkStart w:id="1892" w:name="_Toc31453"/>
      <w:bookmarkStart w:id="1893" w:name="_Toc21600"/>
      <w:bookmarkStart w:id="1894" w:name="_Toc14251"/>
      <w:bookmarkStart w:id="1895" w:name="_Toc27612"/>
      <w:bookmarkStart w:id="1896" w:name="_Toc26724_WPSOffice_Level2"/>
      <w:bookmarkStart w:id="1897" w:name="_Toc17726"/>
      <w:bookmarkStart w:id="1898" w:name="_Toc182"/>
      <w:bookmarkStart w:id="1899" w:name="_Toc10237"/>
      <w:bookmarkStart w:id="1900" w:name="_Toc21576"/>
      <w:bookmarkStart w:id="1901" w:name="_Toc423"/>
      <w:bookmarkStart w:id="1902" w:name="_Toc18906"/>
      <w:bookmarkStart w:id="1903" w:name="_Toc16397"/>
      <w:bookmarkStart w:id="1904" w:name="_Toc27805"/>
      <w:bookmarkStart w:id="1905" w:name="_Toc25830"/>
      <w:bookmarkStart w:id="1906" w:name="_Toc11372"/>
      <w:bookmarkStart w:id="1907" w:name="_Toc27438"/>
      <w:bookmarkStart w:id="1908" w:name="_Toc5906"/>
      <w:bookmarkStart w:id="1909" w:name="_Toc8366"/>
      <w:bookmarkStart w:id="1910" w:name="_Toc26398"/>
      <w:bookmarkStart w:id="1911" w:name="_Toc32217"/>
      <w:bookmarkStart w:id="1912" w:name="_Toc19737"/>
      <w:bookmarkStart w:id="1913" w:name="_Toc27526"/>
      <w:bookmarkStart w:id="1914" w:name="_Toc20578"/>
      <w:bookmarkStart w:id="1915" w:name="_Toc12856"/>
      <w:bookmarkStart w:id="1916" w:name="_Toc9130"/>
      <w:bookmarkStart w:id="1917" w:name="_Toc18464"/>
      <w:bookmarkStart w:id="1918" w:name="_Toc16476"/>
      <w:bookmarkStart w:id="1919" w:name="_Toc16933"/>
      <w:bookmarkStart w:id="1920" w:name="_Toc12337"/>
      <w:bookmarkStart w:id="1921" w:name="_Toc29897"/>
      <w:bookmarkStart w:id="1922" w:name="_Toc7470"/>
      <w:bookmarkStart w:id="1923" w:name="_Toc31555"/>
      <w:bookmarkStart w:id="1924" w:name="_Toc9394"/>
      <w:bookmarkStart w:id="1925" w:name="_Toc5717"/>
      <w:bookmarkStart w:id="1926" w:name="_Toc10299"/>
      <w:bookmarkStart w:id="1927" w:name="_Toc12455"/>
      <w:r>
        <w:rPr>
          <w:rFonts w:hint="eastAsia"/>
          <w:bCs w:val="0"/>
        </w:rPr>
        <w:t>6.4　应急演练</w:t>
      </w:r>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p>
    <w:p>
      <w:pPr>
        <w:snapToGrid w:val="0"/>
        <w:ind w:firstLine="643"/>
      </w:pPr>
      <w:r>
        <w:rPr>
          <w:rFonts w:hint="eastAsia" w:ascii="仿宋_GB2312" w:hAnsi="仿宋_GB2312" w:cs="仿宋_GB2312"/>
          <w:b/>
          <w:szCs w:val="32"/>
        </w:rPr>
        <w:t xml:space="preserve">6.4.1 </w:t>
      </w:r>
      <w:r>
        <w:rPr>
          <w:rFonts w:hint="eastAsia"/>
          <w:bCs/>
        </w:rPr>
        <w:t xml:space="preserve"> </w:t>
      </w:r>
      <w:r>
        <w:rPr>
          <w:rFonts w:hint="eastAsia"/>
        </w:rPr>
        <w:t>应急指挥部</w:t>
      </w:r>
      <w:r>
        <w:rPr>
          <w:rFonts w:hint="eastAsia"/>
          <w:bCs/>
        </w:rPr>
        <w:t>办公室视实际需要，组织综合或单项应急演练。</w:t>
      </w:r>
      <w:r>
        <w:rPr>
          <w:rFonts w:hint="eastAsia"/>
        </w:rPr>
        <w:t>各成员单位和各区政府对应急预案进行演练，并加以完善。</w:t>
      </w:r>
    </w:p>
    <w:p>
      <w:pPr>
        <w:snapToGrid w:val="0"/>
        <w:ind w:firstLine="643"/>
        <w:rPr>
          <w:bCs/>
        </w:rPr>
      </w:pPr>
      <w:r>
        <w:rPr>
          <w:rFonts w:hint="eastAsia" w:ascii="仿宋_GB2312" w:hAnsi="仿宋_GB2312" w:cs="仿宋_GB2312"/>
          <w:b/>
          <w:szCs w:val="32"/>
        </w:rPr>
        <w:t xml:space="preserve">6.4.2  </w:t>
      </w:r>
      <w:r>
        <w:rPr>
          <w:rFonts w:hint="eastAsia"/>
          <w:bCs/>
        </w:rPr>
        <w:t>金融管理（监管）部门负责本系统、本领域、本部门的应急演练，并加强对下属单位和管理（监管）对象应急演练工作的指导和督促。</w:t>
      </w:r>
    </w:p>
    <w:p>
      <w:pPr>
        <w:snapToGrid w:val="0"/>
        <w:ind w:firstLine="643"/>
        <w:rPr>
          <w:bCs/>
        </w:rPr>
      </w:pPr>
      <w:r>
        <w:rPr>
          <w:rFonts w:hint="eastAsia" w:ascii="仿宋_GB2312" w:hAnsi="仿宋_GB2312" w:cs="仿宋_GB2312"/>
          <w:b/>
          <w:szCs w:val="32"/>
        </w:rPr>
        <w:t xml:space="preserve">6.4.3 </w:t>
      </w:r>
      <w:r>
        <w:rPr>
          <w:rFonts w:hint="eastAsia"/>
          <w:bCs/>
        </w:rPr>
        <w:t xml:space="preserve"> 通过应急演练，发现和解决应急工作中的问题，落实岗位责任，熟悉指挥机制和决策、协调、处置的程序，评价应急准备状态，培训和检验应急队伍的快速反应能力，提高部门间协调配合和现场处置能力，检验应急预案可行性、科学性并改进完善。</w:t>
      </w:r>
    </w:p>
    <w:p>
      <w:pPr>
        <w:pStyle w:val="2"/>
        <w:snapToGrid w:val="0"/>
        <w:ind w:firstLine="640"/>
        <w:rPr>
          <w:rFonts w:hint="default"/>
          <w:b w:val="0"/>
          <w:bCs/>
        </w:rPr>
      </w:pPr>
      <w:bookmarkStart w:id="1928" w:name="_Toc15075"/>
      <w:bookmarkStart w:id="1929" w:name="_Toc32701"/>
      <w:bookmarkStart w:id="1930" w:name="_Toc17497"/>
      <w:bookmarkStart w:id="1931" w:name="_Toc19124"/>
      <w:bookmarkStart w:id="1932" w:name="_Toc10049_WPSOffice_Level1"/>
      <w:bookmarkStart w:id="1933" w:name="_Toc6435"/>
      <w:bookmarkStart w:id="1934" w:name="_Toc7215"/>
      <w:bookmarkStart w:id="1935" w:name="_Toc16164"/>
      <w:bookmarkStart w:id="1936" w:name="_Toc32454"/>
      <w:bookmarkStart w:id="1937" w:name="_Toc14376"/>
      <w:bookmarkStart w:id="1938" w:name="_Toc25756"/>
      <w:bookmarkStart w:id="1939" w:name="_Toc8711"/>
      <w:bookmarkStart w:id="1940" w:name="_Toc7307"/>
      <w:bookmarkStart w:id="1941" w:name="_Toc44"/>
      <w:bookmarkStart w:id="1942" w:name="_Toc22869"/>
      <w:bookmarkStart w:id="1943" w:name="_Toc10133"/>
      <w:bookmarkStart w:id="1944" w:name="_Toc20553"/>
      <w:bookmarkStart w:id="1945" w:name="_Toc17784"/>
      <w:bookmarkStart w:id="1946" w:name="_Toc30876"/>
      <w:bookmarkStart w:id="1947" w:name="_Toc12305"/>
      <w:bookmarkStart w:id="1948" w:name="_Toc26749"/>
      <w:bookmarkStart w:id="1949" w:name="_Toc3047"/>
      <w:bookmarkStart w:id="1950" w:name="_Toc27783"/>
      <w:bookmarkStart w:id="1951" w:name="_Toc1360"/>
      <w:bookmarkStart w:id="1952" w:name="_Toc4932"/>
      <w:bookmarkStart w:id="1953" w:name="_Toc2016"/>
      <w:bookmarkStart w:id="1954" w:name="_Toc18376"/>
      <w:bookmarkStart w:id="1955" w:name="_Toc31714"/>
      <w:bookmarkStart w:id="1956" w:name="_Toc25250"/>
      <w:bookmarkStart w:id="1957" w:name="_Toc5386"/>
      <w:bookmarkStart w:id="1958" w:name="_Toc22279"/>
      <w:bookmarkStart w:id="1959" w:name="_Toc6127"/>
      <w:bookmarkStart w:id="1960" w:name="_Toc15211"/>
      <w:bookmarkStart w:id="1961" w:name="_Toc20164"/>
      <w:bookmarkStart w:id="1962" w:name="_Toc25585"/>
      <w:bookmarkStart w:id="1963" w:name="_Toc27051"/>
      <w:bookmarkStart w:id="1964" w:name="_Toc17222"/>
      <w:bookmarkStart w:id="1965" w:name="_Toc4975"/>
      <w:bookmarkStart w:id="1966" w:name="_Toc28586"/>
      <w:r>
        <w:rPr>
          <w:b w:val="0"/>
          <w:bCs/>
        </w:rPr>
        <w:t>7　术语说明</w:t>
      </w:r>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p>
    <w:p>
      <w:pPr>
        <w:snapToGrid w:val="0"/>
        <w:ind w:firstLine="643"/>
        <w:rPr>
          <w:bCs/>
        </w:rPr>
      </w:pPr>
      <w:r>
        <w:rPr>
          <w:rFonts w:hint="eastAsia"/>
          <w:b/>
        </w:rPr>
        <w:t>金融管理（监管）部门</w:t>
      </w:r>
      <w:r>
        <w:rPr>
          <w:rFonts w:hint="eastAsia"/>
          <w:bCs/>
        </w:rPr>
        <w:t>：指对本市金融业、类金融业具有审批、监督、管理职责的职能部门。</w:t>
      </w:r>
    </w:p>
    <w:p>
      <w:pPr>
        <w:snapToGrid w:val="0"/>
        <w:ind w:firstLine="643"/>
        <w:jc w:val="left"/>
        <w:rPr>
          <w:bCs/>
          <w:color w:val="000000" w:themeColor="text1"/>
          <w14:textFill>
            <w14:solidFill>
              <w14:schemeClr w14:val="tx1"/>
            </w14:solidFill>
          </w14:textFill>
        </w:rPr>
      </w:pPr>
      <w:r>
        <w:rPr>
          <w:rFonts w:hint="eastAsia"/>
          <w:b/>
          <w:color w:val="000000" w:themeColor="text1"/>
          <w14:textFill>
            <w14:solidFill>
              <w14:schemeClr w14:val="tx1"/>
            </w14:solidFill>
          </w14:textFill>
        </w:rPr>
        <w:t>金融机构：</w:t>
      </w:r>
      <w:r>
        <w:rPr>
          <w:rFonts w:hint="eastAsia" w:cs="Times New Roman"/>
        </w:rPr>
        <w:t>指从事金融服务业有关的（类）金融机构，包括银行、非银行金融机构、证券公司、保险公司、保险专业中介机构、基金管理公司、小额贷款公司、融资担保公司、区域性股权市场、典当行、融资租赁公司、商业保理公司、地方资产管理公司</w:t>
      </w:r>
      <w:r>
        <w:rPr>
          <w:rFonts w:hint="eastAsia"/>
          <w:bCs/>
          <w:color w:val="000000" w:themeColor="text1"/>
          <w14:textFill>
            <w14:solidFill>
              <w14:schemeClr w14:val="tx1"/>
            </w14:solidFill>
          </w14:textFill>
        </w:rPr>
        <w:t>。</w:t>
      </w:r>
    </w:p>
    <w:p>
      <w:pPr>
        <w:snapToGrid w:val="0"/>
        <w:ind w:firstLine="643"/>
        <w:rPr>
          <w:bCs/>
        </w:rPr>
      </w:pPr>
      <w:r>
        <w:rPr>
          <w:rFonts w:hint="eastAsia"/>
          <w:b/>
        </w:rPr>
        <w:t>金融市场</w:t>
      </w:r>
      <w:r>
        <w:rPr>
          <w:rFonts w:hint="eastAsia"/>
          <w:bCs/>
        </w:rPr>
        <w:t>：指资金融通市场，是资金供应者和资金需求者双方通过金融工具进行交易而融通资金的市场，具体包括货币市场、资本市场、金融衍生品市场、外汇市场、保险市场、黄金及其他投资品市场等。</w:t>
      </w:r>
    </w:p>
    <w:p>
      <w:pPr>
        <w:snapToGrid w:val="0"/>
        <w:ind w:firstLine="643"/>
        <w:rPr>
          <w:bCs/>
        </w:rPr>
      </w:pPr>
      <w:r>
        <w:rPr>
          <w:rFonts w:hint="eastAsia"/>
          <w:b/>
        </w:rPr>
        <w:t>金融基础设施</w:t>
      </w:r>
      <w:r>
        <w:rPr>
          <w:rFonts w:hint="eastAsia"/>
          <w:bCs/>
        </w:rPr>
        <w:t>：指金融运行的硬件设施和制度安排，主要包括支付体系、法律环境、公司治理、会计准则、信用环境、反洗钱、风险监测预警体系以及由金融管理（监管）、中央银行最后贷款人职能、投资者保护制度组成的金融安全网等。</w:t>
      </w:r>
    </w:p>
    <w:p>
      <w:pPr>
        <w:ind w:firstLine="643"/>
        <w:rPr>
          <w:color w:val="0000FF"/>
        </w:rPr>
      </w:pPr>
      <w:r>
        <w:rPr>
          <w:rFonts w:hint="eastAsia"/>
          <w:b/>
          <w:bCs/>
          <w:color w:val="000000" w:themeColor="text1"/>
          <w14:textFill>
            <w14:solidFill>
              <w14:schemeClr w14:val="tx1"/>
            </w14:solidFill>
          </w14:textFill>
        </w:rPr>
        <w:t>其他金融领域：</w:t>
      </w:r>
      <w:r>
        <w:rPr>
          <w:rFonts w:hint="eastAsia"/>
          <w:color w:val="000000" w:themeColor="text1"/>
          <w14:textFill>
            <w14:solidFill>
              <w14:schemeClr w14:val="tx1"/>
            </w14:solidFill>
          </w14:textFill>
        </w:rPr>
        <w:t>指传统金融以外的其他新兴金融领域，包括但不限于P2P网络借贷、股权众筹、第三方支付等。</w:t>
      </w:r>
    </w:p>
    <w:p>
      <w:pPr>
        <w:ind w:firstLine="643"/>
        <w:rPr>
          <w:rFonts w:ascii="仿宋" w:hAnsi="仿宋" w:eastAsia="仿宋" w:cs="仿宋"/>
        </w:rPr>
      </w:pPr>
      <w:r>
        <w:rPr>
          <w:rFonts w:hint="eastAsia" w:ascii="仿宋" w:hAnsi="仿宋" w:eastAsia="仿宋" w:cs="仿宋"/>
          <w:b/>
        </w:rPr>
        <w:t>流动性风险引发的金融突发事件</w:t>
      </w:r>
      <w:r>
        <w:rPr>
          <w:rFonts w:hint="eastAsia" w:ascii="仿宋" w:hAnsi="仿宋" w:eastAsia="仿宋" w:cs="仿宋"/>
          <w:bCs/>
        </w:rPr>
        <w:t>：指有清偿能力但无法及时获得充足资金，或无法以合理成本及时获得充足资金以应对资产增长，或支付到期债务等引发的金融突发事件。</w:t>
      </w:r>
    </w:p>
    <w:p>
      <w:pPr>
        <w:snapToGrid w:val="0"/>
        <w:ind w:firstLine="643"/>
        <w:rPr>
          <w:bCs/>
        </w:rPr>
      </w:pPr>
      <w:r>
        <w:rPr>
          <w:rFonts w:hint="eastAsia"/>
          <w:b/>
        </w:rPr>
        <w:t>市场风险引发的金融突发事件</w:t>
      </w:r>
      <w:r>
        <w:rPr>
          <w:rFonts w:hint="eastAsia"/>
          <w:bCs/>
        </w:rPr>
        <w:t>：指因利率风险、汇率风险、股票价格风险、商品价格风险等引发的金融市场动荡，金融秩序紊乱。</w:t>
      </w:r>
    </w:p>
    <w:p>
      <w:pPr>
        <w:snapToGrid w:val="0"/>
        <w:ind w:firstLine="643"/>
        <w:rPr>
          <w:bCs/>
        </w:rPr>
      </w:pPr>
      <w:r>
        <w:rPr>
          <w:rFonts w:hint="eastAsia"/>
          <w:b/>
        </w:rPr>
        <w:t>信用风险引发的金融突发事件</w:t>
      </w:r>
      <w:r>
        <w:rPr>
          <w:rFonts w:hint="eastAsia"/>
          <w:bCs/>
        </w:rPr>
        <w:t>：指因合同违约等引发的债券违约、不良贷款、金融纠纷、金融消费者利益受损等。</w:t>
      </w:r>
    </w:p>
    <w:p>
      <w:pPr>
        <w:snapToGrid w:val="0"/>
        <w:ind w:firstLine="643"/>
        <w:rPr>
          <w:bCs/>
        </w:rPr>
      </w:pPr>
      <w:r>
        <w:rPr>
          <w:rFonts w:hint="eastAsia"/>
          <w:b/>
        </w:rPr>
        <w:t>操作风险引发的金融突发事件</w:t>
      </w:r>
      <w:r>
        <w:rPr>
          <w:rFonts w:hint="eastAsia"/>
          <w:bCs/>
        </w:rPr>
        <w:t>：指由于不完善或有问题的内部操作过程、人员、系统、外部事件等引发的金融突发事件。</w:t>
      </w:r>
    </w:p>
    <w:p>
      <w:pPr>
        <w:snapToGrid w:val="0"/>
        <w:ind w:firstLine="643"/>
        <w:rPr>
          <w:bCs/>
        </w:rPr>
      </w:pPr>
      <w:r>
        <w:rPr>
          <w:rFonts w:hint="eastAsia"/>
          <w:b/>
        </w:rPr>
        <w:t>辖内</w:t>
      </w:r>
      <w:r>
        <w:rPr>
          <w:rFonts w:hint="eastAsia"/>
          <w:bCs/>
        </w:rPr>
        <w:t>：指职责管辖范围之内。</w:t>
      </w:r>
    </w:p>
    <w:p>
      <w:pPr>
        <w:pStyle w:val="2"/>
        <w:ind w:firstLine="640"/>
        <w:rPr>
          <w:rFonts w:hint="default"/>
          <w:b w:val="0"/>
          <w:bCs/>
        </w:rPr>
      </w:pPr>
      <w:bookmarkStart w:id="1967" w:name="_Toc19567"/>
      <w:bookmarkStart w:id="1968" w:name="_Toc26133"/>
      <w:bookmarkStart w:id="1969" w:name="_Toc29844"/>
      <w:bookmarkStart w:id="1970" w:name="_Toc23610"/>
      <w:bookmarkStart w:id="1971" w:name="_Toc19349"/>
      <w:bookmarkStart w:id="1972" w:name="_Toc12737"/>
      <w:bookmarkStart w:id="1973" w:name="_Toc21736_WPSOffice_Level1"/>
      <w:bookmarkStart w:id="1974" w:name="_Toc11777"/>
      <w:bookmarkStart w:id="1975" w:name="_Toc31040"/>
      <w:bookmarkStart w:id="1976" w:name="_Toc10837"/>
      <w:bookmarkStart w:id="1977" w:name="_Toc15514"/>
      <w:bookmarkStart w:id="1978" w:name="_Toc24909"/>
      <w:bookmarkStart w:id="1979" w:name="_Toc20484"/>
      <w:bookmarkStart w:id="1980" w:name="_Toc5311"/>
      <w:bookmarkStart w:id="1981" w:name="_Toc11552"/>
      <w:bookmarkStart w:id="1982" w:name="_Toc8450"/>
      <w:bookmarkStart w:id="1983" w:name="_Toc12151"/>
      <w:bookmarkStart w:id="1984" w:name="_Toc20496"/>
      <w:bookmarkStart w:id="1985" w:name="_Toc19530"/>
      <w:bookmarkStart w:id="1986" w:name="_Toc22872"/>
      <w:bookmarkStart w:id="1987" w:name="_Toc30194"/>
      <w:bookmarkStart w:id="1988" w:name="_Toc14338"/>
      <w:bookmarkStart w:id="1989" w:name="_Toc25297"/>
      <w:bookmarkStart w:id="1990" w:name="_Toc9985"/>
      <w:bookmarkStart w:id="1991" w:name="_Toc25229"/>
      <w:bookmarkStart w:id="1992" w:name="_Toc10800"/>
      <w:r>
        <w:rPr>
          <w:b w:val="0"/>
          <w:bCs/>
        </w:rPr>
        <w:t>8　附则</w:t>
      </w:r>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p>
    <w:p>
      <w:pPr>
        <w:pStyle w:val="3"/>
        <w:snapToGrid w:val="0"/>
        <w:spacing w:line="560" w:lineRule="exact"/>
        <w:ind w:firstLine="643"/>
        <w:rPr>
          <w:b w:val="0"/>
        </w:rPr>
      </w:pPr>
      <w:bookmarkStart w:id="1993" w:name="_Toc25135"/>
      <w:bookmarkStart w:id="1994" w:name="_Toc4370"/>
      <w:bookmarkStart w:id="1995" w:name="_Toc4789_WPSOffice_Level2"/>
      <w:bookmarkStart w:id="1996" w:name="_Toc15714"/>
      <w:bookmarkStart w:id="1997" w:name="_Toc23558"/>
      <w:bookmarkStart w:id="1998" w:name="_Toc9608"/>
      <w:bookmarkStart w:id="1999" w:name="_Toc4836"/>
      <w:bookmarkStart w:id="2000" w:name="_Toc12199"/>
      <w:bookmarkStart w:id="2001" w:name="_Toc16496"/>
      <w:bookmarkStart w:id="2002" w:name="_Toc10112"/>
      <w:bookmarkStart w:id="2003" w:name="_Toc2001"/>
      <w:bookmarkStart w:id="2004" w:name="_Toc17836"/>
      <w:bookmarkStart w:id="2005" w:name="_Toc115"/>
      <w:bookmarkStart w:id="2006" w:name="_Toc23522"/>
      <w:bookmarkStart w:id="2007" w:name="_Toc21934"/>
      <w:bookmarkStart w:id="2008" w:name="_Toc404"/>
      <w:bookmarkStart w:id="2009" w:name="_Toc12325"/>
      <w:bookmarkStart w:id="2010" w:name="_Toc13354"/>
      <w:bookmarkStart w:id="2011" w:name="_Toc6240"/>
      <w:bookmarkStart w:id="2012" w:name="_Toc3667"/>
      <w:bookmarkStart w:id="2013" w:name="_Toc22754"/>
      <w:bookmarkStart w:id="2014" w:name="_Toc25668"/>
      <w:bookmarkStart w:id="2015" w:name="_Toc6800"/>
      <w:bookmarkStart w:id="2016" w:name="_Toc1741"/>
      <w:bookmarkStart w:id="2017" w:name="_Toc9196"/>
      <w:bookmarkStart w:id="2018" w:name="_Toc27766"/>
      <w:bookmarkStart w:id="2019" w:name="_Toc788"/>
      <w:bookmarkStart w:id="2020" w:name="_Toc3700"/>
      <w:bookmarkStart w:id="2021" w:name="_Toc14726"/>
      <w:bookmarkStart w:id="2022" w:name="_Toc9543"/>
      <w:bookmarkStart w:id="2023" w:name="_Toc26713"/>
      <w:bookmarkStart w:id="2024" w:name="_Toc14418"/>
      <w:bookmarkStart w:id="2025" w:name="_Toc100"/>
      <w:bookmarkStart w:id="2026" w:name="_Toc6845"/>
      <w:bookmarkStart w:id="2027" w:name="_Toc23911"/>
      <w:bookmarkStart w:id="2028" w:name="_Toc26706"/>
      <w:bookmarkStart w:id="2029" w:name="_Toc21265"/>
      <w:bookmarkStart w:id="2030" w:name="_Toc4225"/>
      <w:bookmarkStart w:id="2031" w:name="_Toc25235"/>
      <w:r>
        <w:rPr>
          <w:rFonts w:hint="eastAsia"/>
          <w:bCs w:val="0"/>
        </w:rPr>
        <w:t>8.1　预案备案</w:t>
      </w:r>
      <w:bookmarkEnd w:id="1993"/>
      <w:bookmarkEnd w:id="1994"/>
      <w:bookmarkEnd w:id="1995"/>
      <w:bookmarkEnd w:id="1996"/>
      <w:bookmarkEnd w:id="1997"/>
      <w:bookmarkEnd w:id="1998"/>
      <w:bookmarkEnd w:id="1999"/>
    </w:p>
    <w:p>
      <w:pPr>
        <w:snapToGrid w:val="0"/>
        <w:ind w:firstLine="640"/>
        <w:rPr>
          <w:bCs/>
        </w:rPr>
      </w:pPr>
      <w:r>
        <w:rPr>
          <w:rFonts w:hint="eastAsia"/>
          <w:bCs/>
        </w:rPr>
        <w:t>市政府各相关部门、中央驻穗金融（管理）监管部门、各区人民政府应根据本预案，制定和完善本部门、本系统、本辖区金融突发事件应急预案，报应急指挥部办公室备案。</w:t>
      </w:r>
    </w:p>
    <w:p>
      <w:pPr>
        <w:pStyle w:val="3"/>
        <w:snapToGrid w:val="0"/>
        <w:spacing w:line="560" w:lineRule="exact"/>
        <w:ind w:firstLine="643"/>
        <w:rPr>
          <w:bCs w:val="0"/>
        </w:rPr>
      </w:pPr>
      <w:bookmarkStart w:id="2032" w:name="_Toc15411"/>
      <w:bookmarkStart w:id="2033" w:name="_Toc11585"/>
      <w:bookmarkStart w:id="2034" w:name="_Toc18992"/>
      <w:bookmarkStart w:id="2035" w:name="_Toc18777"/>
      <w:bookmarkStart w:id="2036" w:name="_Toc27586"/>
      <w:bookmarkStart w:id="2037" w:name="_Toc28966"/>
      <w:bookmarkStart w:id="2038" w:name="_Toc15489_WPSOffice_Level2"/>
      <w:r>
        <w:rPr>
          <w:rFonts w:hint="eastAsia"/>
          <w:bCs w:val="0"/>
        </w:rPr>
        <w:t>8.2　预案</w:t>
      </w:r>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r>
        <w:rPr>
          <w:rFonts w:hint="eastAsia"/>
          <w:bCs w:val="0"/>
        </w:rPr>
        <w:t>修订</w:t>
      </w:r>
    </w:p>
    <w:p>
      <w:pPr>
        <w:snapToGrid w:val="0"/>
        <w:ind w:firstLine="640"/>
        <w:rPr>
          <w:bCs/>
        </w:rPr>
      </w:pPr>
      <w:r>
        <w:rPr>
          <w:rFonts w:hint="eastAsia"/>
          <w:bCs/>
        </w:rPr>
        <w:t>应急指挥部办公室根据相关法律法规的制定和修改、机构调整、应急资源变化，及应急处置过程中或应急演练中发现问题等情况，组织对本预案进行修订。</w:t>
      </w:r>
    </w:p>
    <w:p>
      <w:pPr>
        <w:pStyle w:val="3"/>
        <w:spacing w:line="560" w:lineRule="exact"/>
        <w:ind w:firstLine="643"/>
        <w:rPr>
          <w:b w:val="0"/>
        </w:rPr>
      </w:pPr>
      <w:bookmarkStart w:id="2039" w:name="_Toc18959_WPSOffice_Level2"/>
      <w:bookmarkStart w:id="2040" w:name="_Toc28731"/>
      <w:bookmarkStart w:id="2041" w:name="_Toc16094"/>
      <w:bookmarkStart w:id="2042" w:name="_Toc4715"/>
      <w:bookmarkStart w:id="2043" w:name="_Toc6389"/>
      <w:bookmarkStart w:id="2044" w:name="_Toc14041"/>
      <w:bookmarkStart w:id="2045" w:name="_Toc27095"/>
      <w:bookmarkStart w:id="2046" w:name="_Toc27949"/>
      <w:bookmarkStart w:id="2047" w:name="_Toc1596"/>
      <w:bookmarkStart w:id="2048" w:name="_Toc19998"/>
      <w:bookmarkStart w:id="2049" w:name="_Toc22556"/>
      <w:bookmarkStart w:id="2050" w:name="_Toc25088"/>
      <w:bookmarkStart w:id="2051" w:name="_Toc30606"/>
      <w:bookmarkStart w:id="2052" w:name="_Toc703"/>
      <w:bookmarkStart w:id="2053" w:name="_Toc19859"/>
      <w:bookmarkStart w:id="2054" w:name="_Toc18128"/>
      <w:bookmarkStart w:id="2055" w:name="_Toc27197"/>
      <w:bookmarkStart w:id="2056" w:name="_Toc6285"/>
      <w:bookmarkStart w:id="2057" w:name="_Toc7839"/>
      <w:bookmarkStart w:id="2058" w:name="_Toc11047"/>
      <w:bookmarkStart w:id="2059" w:name="_Toc1227"/>
      <w:bookmarkStart w:id="2060" w:name="_Toc8341"/>
      <w:bookmarkStart w:id="2061" w:name="_Toc26554"/>
      <w:bookmarkStart w:id="2062" w:name="_Toc21132"/>
      <w:bookmarkStart w:id="2063" w:name="_Toc8643"/>
      <w:bookmarkStart w:id="2064" w:name="_Toc26218"/>
      <w:bookmarkStart w:id="2065" w:name="_Toc11509"/>
      <w:r>
        <w:rPr>
          <w:rFonts w:hint="eastAsia"/>
          <w:bCs w:val="0"/>
        </w:rPr>
        <w:t>8.3　预案解释和实</w:t>
      </w:r>
      <w:bookmarkEnd w:id="2039"/>
      <w:r>
        <w:rPr>
          <w:rFonts w:hint="eastAsia"/>
          <w:bCs w:val="0"/>
        </w:rPr>
        <w:t>施</w:t>
      </w:r>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p>
    <w:p>
      <w:pPr>
        <w:pStyle w:val="16"/>
        <w:widowControl/>
        <w:spacing w:beforeAutospacing="0" w:afterAutospacing="0" w:line="480" w:lineRule="auto"/>
        <w:ind w:firstLine="640"/>
        <w:rPr>
          <w:rFonts w:cstheme="minorBidi"/>
          <w:bCs/>
          <w:kern w:val="2"/>
          <w:sz w:val="32"/>
        </w:rPr>
      </w:pPr>
      <w:r>
        <w:rPr>
          <w:rFonts w:hint="eastAsia" w:cstheme="minorBidi"/>
          <w:bCs/>
          <w:kern w:val="2"/>
          <w:sz w:val="32"/>
        </w:rPr>
        <w:t>本预案由广州市金融突发事件应急指挥部负责编制、修订、解释。</w:t>
      </w:r>
    </w:p>
    <w:p>
      <w:pPr>
        <w:snapToGrid w:val="0"/>
        <w:ind w:firstLine="640"/>
      </w:pPr>
      <w:r>
        <w:rPr>
          <w:rFonts w:hint="eastAsia"/>
        </w:rPr>
        <w:t>本预案自印发之日起实施。2009年市政府办公厅印发的《广州市金融突发事件应急预案》（穗府办〔2009〕24号）同时废止。</w:t>
      </w:r>
    </w:p>
    <w:p>
      <w:pPr>
        <w:pStyle w:val="5"/>
        <w:snapToGrid w:val="0"/>
        <w:rPr>
          <w:rFonts w:hint="default" w:ascii="宋体" w:hAnsi="宋体" w:eastAsia="黑体"/>
          <w:b w:val="0"/>
          <w:bCs/>
          <w:kern w:val="44"/>
          <w:szCs w:val="48"/>
          <w:lang w:bidi="ar"/>
        </w:rPr>
      </w:pPr>
      <w:bookmarkStart w:id="2066" w:name="_Toc29561"/>
      <w:bookmarkStart w:id="2067" w:name="_Toc22666"/>
      <w:bookmarkStart w:id="2068" w:name="_Toc5348"/>
      <w:bookmarkStart w:id="2069" w:name="_Toc10096"/>
      <w:bookmarkStart w:id="2070" w:name="_Toc7024"/>
      <w:bookmarkStart w:id="2071" w:name="_Toc22915"/>
      <w:bookmarkStart w:id="2072" w:name="_Toc7850"/>
      <w:bookmarkStart w:id="2073" w:name="_Toc17942"/>
      <w:bookmarkStart w:id="2074" w:name="_Toc30939"/>
      <w:bookmarkStart w:id="2075" w:name="_Toc8331"/>
      <w:bookmarkStart w:id="2076" w:name="_Toc7315"/>
      <w:bookmarkStart w:id="2077" w:name="_Toc8014"/>
      <w:bookmarkStart w:id="2078" w:name="_Toc19263"/>
      <w:bookmarkStart w:id="2079" w:name="_Toc10899"/>
      <w:bookmarkStart w:id="2080" w:name="_Toc31160"/>
      <w:bookmarkStart w:id="2081" w:name="_Toc30198"/>
      <w:bookmarkStart w:id="2082" w:name="_Toc1594"/>
      <w:bookmarkStart w:id="2083" w:name="_Toc13497"/>
      <w:bookmarkStart w:id="2084" w:name="_Toc1114"/>
      <w:bookmarkStart w:id="2085" w:name="_Toc7116"/>
      <w:bookmarkStart w:id="2086" w:name="_Toc22311"/>
      <w:bookmarkStart w:id="2087" w:name="_Toc6549"/>
      <w:bookmarkStart w:id="2088" w:name="_Toc13911"/>
      <w:bookmarkStart w:id="2089" w:name="_Toc21465"/>
      <w:bookmarkStart w:id="2090" w:name="_Toc12098"/>
      <w:bookmarkStart w:id="2091" w:name="_Toc13490"/>
      <w:bookmarkStart w:id="2092" w:name="_Toc13148"/>
      <w:bookmarkStart w:id="2093" w:name="_Toc15922"/>
      <w:bookmarkStart w:id="2094" w:name="_Toc13895"/>
      <w:bookmarkStart w:id="2095" w:name="_Toc32060"/>
      <w:bookmarkStart w:id="2096" w:name="_Toc3781"/>
      <w:bookmarkStart w:id="2097" w:name="_Toc25102"/>
      <w:bookmarkStart w:id="2098" w:name="_Toc24590"/>
      <w:bookmarkStart w:id="2099" w:name="_Toc3422"/>
      <w:bookmarkStart w:id="2100" w:name="_Toc2650"/>
      <w:bookmarkStart w:id="2101" w:name="_Toc26565"/>
      <w:bookmarkStart w:id="2102" w:name="_Toc11592"/>
      <w:bookmarkStart w:id="2103" w:name="_Toc18258"/>
      <w:bookmarkStart w:id="2104" w:name="_Toc15388"/>
      <w:r>
        <w:rPr>
          <w:rFonts w:ascii="宋体" w:hAnsi="宋体" w:eastAsia="黑体"/>
          <w:b w:val="0"/>
          <w:bCs/>
          <w:kern w:val="44"/>
          <w:szCs w:val="48"/>
          <w:lang w:bidi="ar"/>
        </w:rPr>
        <w:t>9</w:t>
      </w:r>
      <w:r>
        <w:rPr>
          <w:b w:val="0"/>
          <w:bCs/>
        </w:rPr>
        <w:t>　</w:t>
      </w:r>
      <w:r>
        <w:rPr>
          <w:rFonts w:ascii="宋体" w:hAnsi="宋体" w:eastAsia="黑体"/>
          <w:b w:val="0"/>
          <w:bCs/>
          <w:kern w:val="44"/>
          <w:szCs w:val="48"/>
          <w:lang w:bidi="ar"/>
        </w:rPr>
        <w:t>附件</w:t>
      </w:r>
      <w:bookmarkEnd w:id="2066"/>
      <w:bookmarkEnd w:id="2067"/>
      <w:bookmarkEnd w:id="2068"/>
    </w:p>
    <w:p>
      <w:pPr>
        <w:pStyle w:val="5"/>
        <w:snapToGrid w:val="0"/>
        <w:ind w:firstLine="643"/>
        <w:rPr>
          <w:rFonts w:hint="default" w:ascii="仿宋_GB2312" w:hAnsi="仿宋_GB2312" w:cs="仿宋_GB2312"/>
          <w:szCs w:val="32"/>
        </w:rPr>
      </w:pPr>
      <w:r>
        <w:rPr>
          <w:rFonts w:eastAsia="楷体_GB2312" w:cstheme="minorBidi"/>
          <w:szCs w:val="32"/>
        </w:rPr>
        <w:t>9.1　成员单位的职责</w:t>
      </w:r>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p>
    <w:p>
      <w:pPr>
        <w:snapToGrid w:val="0"/>
        <w:ind w:firstLine="643"/>
        <w:rPr>
          <w:bCs/>
        </w:rPr>
      </w:pPr>
      <w:r>
        <w:rPr>
          <w:rFonts w:hint="eastAsia"/>
          <w:b/>
        </w:rPr>
        <w:t>市地方金融监管局：</w:t>
      </w:r>
      <w:r>
        <w:rPr>
          <w:rFonts w:hint="eastAsia"/>
          <w:bCs/>
        </w:rPr>
        <w:t>落实应急指挥部的工作部署，承担应急指挥部办公室日常工作；</w:t>
      </w:r>
      <w:r>
        <w:rPr>
          <w:rFonts w:hint="eastAsia"/>
          <w:bCs/>
          <w:color w:val="000000" w:themeColor="text1"/>
          <w14:textFill>
            <w14:solidFill>
              <w14:schemeClr w14:val="tx1"/>
            </w14:solidFill>
          </w14:textFill>
        </w:rPr>
        <w:t>及时启动本系统金融突发事件应急预案，负责本部门职责范围内的应急响应事项；督促指导和协调事发机构积极采取自救和同业援助措施；</w:t>
      </w:r>
      <w:r>
        <w:rPr>
          <w:rFonts w:hint="eastAsia"/>
        </w:rPr>
        <w:t>监测分析研判区域地方金融组织风险；</w:t>
      </w:r>
      <w:r>
        <w:rPr>
          <w:rFonts w:hint="eastAsia"/>
          <w:bCs/>
          <w:color w:val="000000" w:themeColor="text1"/>
          <w14:textFill>
            <w14:solidFill>
              <w14:schemeClr w14:val="tx1"/>
            </w14:solidFill>
          </w14:textFill>
        </w:rPr>
        <w:t>组织评估各区、各部门</w:t>
      </w:r>
      <w:r>
        <w:rPr>
          <w:rFonts w:hint="eastAsia"/>
          <w:bCs/>
        </w:rPr>
        <w:t>通报的金融突发事件的风险程度；提出启动本预案的建议。</w:t>
      </w:r>
    </w:p>
    <w:p>
      <w:pPr>
        <w:snapToGrid w:val="0"/>
        <w:ind w:firstLine="643"/>
        <w:rPr>
          <w:bCs/>
        </w:rPr>
      </w:pPr>
      <w:r>
        <w:rPr>
          <w:rFonts w:hint="eastAsia"/>
          <w:b/>
        </w:rPr>
        <w:t>人民银行广州分行：</w:t>
      </w:r>
      <w:r>
        <w:rPr>
          <w:rFonts w:hint="eastAsia"/>
        </w:rPr>
        <w:t>监测分析区域系统性风险</w:t>
      </w:r>
      <w:r>
        <w:rPr>
          <w:rFonts w:hint="eastAsia"/>
          <w:bCs/>
        </w:rPr>
        <w:t>；及时启动本系统金融突发事件应急预案</w:t>
      </w:r>
      <w:r>
        <w:rPr>
          <w:rFonts w:hint="eastAsia"/>
          <w:bCs/>
          <w:color w:val="000000" w:themeColor="text1"/>
          <w14:textFill>
            <w14:solidFill>
              <w14:schemeClr w14:val="tx1"/>
            </w14:solidFill>
          </w14:textFill>
        </w:rPr>
        <w:t>，负责本部门职责范围内的应急响应事项；督促指导和协调事发机构积极采取自救和同业援助措施；参与评估各区、各部门通报的金融突发事件的风险程度；提出启</w:t>
      </w:r>
      <w:r>
        <w:rPr>
          <w:rFonts w:hint="eastAsia"/>
          <w:bCs/>
        </w:rPr>
        <w:t>动本预案的建议。</w:t>
      </w:r>
    </w:p>
    <w:p>
      <w:pPr>
        <w:snapToGrid w:val="0"/>
        <w:ind w:firstLine="643"/>
        <w:rPr>
          <w:bCs/>
        </w:rPr>
      </w:pPr>
      <w:r>
        <w:rPr>
          <w:rFonts w:hint="eastAsia"/>
          <w:b/>
        </w:rPr>
        <w:t>广东银保监局：</w:t>
      </w:r>
      <w:r>
        <w:rPr>
          <w:rFonts w:hint="eastAsia"/>
          <w:bCs/>
        </w:rPr>
        <w:t>及时启动本系统处置金融突发事件应急预案，</w:t>
      </w:r>
      <w:r>
        <w:rPr>
          <w:rFonts w:hint="eastAsia"/>
          <w:bCs/>
          <w:color w:val="000000" w:themeColor="text1"/>
          <w14:textFill>
            <w14:solidFill>
              <w14:schemeClr w14:val="tx1"/>
            </w14:solidFill>
          </w14:textFill>
        </w:rPr>
        <w:t>负责本部门职责范围内的应急响应事项；指导辖内金融机构做好金融突发事件的防范和处置工作；督促指导和协调事发机构积极采取自救和同业援助措施；</w:t>
      </w:r>
      <w:r>
        <w:rPr>
          <w:rFonts w:hint="eastAsia"/>
        </w:rPr>
        <w:t>监测分析区域银行业和保险业风险；</w:t>
      </w:r>
      <w:r>
        <w:rPr>
          <w:rFonts w:hint="eastAsia"/>
          <w:bCs/>
          <w:color w:val="000000" w:themeColor="text1"/>
          <w14:textFill>
            <w14:solidFill>
              <w14:schemeClr w14:val="tx1"/>
            </w14:solidFill>
          </w14:textFill>
        </w:rPr>
        <w:t>参与评</w:t>
      </w:r>
      <w:r>
        <w:rPr>
          <w:rFonts w:hint="eastAsia"/>
          <w:bCs/>
        </w:rPr>
        <w:t>估各区、各部门通报的金融突发事件的风险程度；提出启动本预案的建议。</w:t>
      </w:r>
    </w:p>
    <w:p>
      <w:pPr>
        <w:snapToGrid w:val="0"/>
        <w:ind w:firstLine="643"/>
        <w:rPr>
          <w:bCs/>
        </w:rPr>
      </w:pPr>
      <w:r>
        <w:rPr>
          <w:rFonts w:hint="eastAsia"/>
          <w:b/>
        </w:rPr>
        <w:t>广东证监局：</w:t>
      </w:r>
      <w:r>
        <w:rPr>
          <w:rFonts w:hint="eastAsia"/>
          <w:bCs/>
        </w:rPr>
        <w:t>及时启动本</w:t>
      </w:r>
      <w:r>
        <w:rPr>
          <w:rFonts w:hint="eastAsia"/>
          <w:bCs/>
          <w:color w:val="000000" w:themeColor="text1"/>
          <w14:textFill>
            <w14:solidFill>
              <w14:schemeClr w14:val="tx1"/>
            </w14:solidFill>
          </w14:textFill>
        </w:rPr>
        <w:t>系统处置金融突发事件应急预案，负责本部门职责范围内的应急响应事项；指导辖内金融机构做好金融突发事件的防范和处置工作；督促指导和协调事发机构积极采取自救和同业援助措施；</w:t>
      </w:r>
      <w:r>
        <w:rPr>
          <w:rFonts w:hint="eastAsia"/>
        </w:rPr>
        <w:t>监测分析区域资本市场相关风险；</w:t>
      </w:r>
      <w:r>
        <w:rPr>
          <w:rFonts w:hint="eastAsia"/>
          <w:bCs/>
          <w:color w:val="000000" w:themeColor="text1"/>
          <w14:textFill>
            <w14:solidFill>
              <w14:schemeClr w14:val="tx1"/>
            </w14:solidFill>
          </w14:textFill>
        </w:rPr>
        <w:t>参与评估各区、各部门通</w:t>
      </w:r>
      <w:r>
        <w:rPr>
          <w:rFonts w:hint="eastAsia"/>
          <w:bCs/>
        </w:rPr>
        <w:t>报的金融突发事件的风险程度；提出启动本预案的建议。</w:t>
      </w:r>
    </w:p>
    <w:p>
      <w:pPr>
        <w:snapToGrid w:val="0"/>
        <w:ind w:firstLine="643"/>
      </w:pPr>
      <w:r>
        <w:rPr>
          <w:rFonts w:hint="eastAsia"/>
          <w:b/>
        </w:rPr>
        <w:t>市委宣传部：</w:t>
      </w:r>
      <w:r>
        <w:rPr>
          <w:rFonts w:hint="eastAsia" w:ascii="仿宋_GB2312" w:hAnsi="仿宋_GB2312" w:cs="仿宋_GB2312"/>
          <w:bCs/>
          <w:szCs w:val="32"/>
        </w:rPr>
        <w:t>指导金融突发事件牵头处置部门开展舆论引导和应对工作，协助组织新闻发布会并协调新闻媒体开展新闻报道。</w:t>
      </w:r>
    </w:p>
    <w:p>
      <w:pPr>
        <w:snapToGrid w:val="0"/>
        <w:ind w:firstLine="643"/>
        <w:rPr>
          <w:rFonts w:ascii="仿宋_GB2312" w:hAnsi="仿宋_GB2312" w:cs="仿宋_GB2312"/>
          <w:bCs/>
          <w:szCs w:val="32"/>
        </w:rPr>
      </w:pPr>
      <w:r>
        <w:rPr>
          <w:rFonts w:hint="eastAsia"/>
          <w:b/>
        </w:rPr>
        <w:t>市委政法委：</w:t>
      </w:r>
      <w:r>
        <w:rPr>
          <w:rFonts w:hint="eastAsia" w:ascii="仿宋_GB2312" w:hAnsi="仿宋_GB2312" w:cs="仿宋_GB2312"/>
          <w:bCs/>
          <w:szCs w:val="32"/>
        </w:rPr>
        <w:t>统筹防范、处置由金融突发事件引起的群体性事件；指导督促各区、有关部门落实金融领域重大决策社会稳定风险评估工作。</w:t>
      </w:r>
    </w:p>
    <w:p>
      <w:pPr>
        <w:snapToGrid w:val="0"/>
        <w:ind w:firstLine="643"/>
        <w:rPr>
          <w:rFonts w:ascii="仿宋_GB2312" w:hAnsi="仿宋_GB2312" w:cs="仿宋_GB2312"/>
        </w:rPr>
      </w:pPr>
      <w:bookmarkStart w:id="2105" w:name="_Toc4972"/>
      <w:r>
        <w:rPr>
          <w:rFonts w:hint="eastAsia" w:ascii="仿宋_GB2312" w:hAnsi="仿宋_GB2312" w:cs="仿宋_GB2312"/>
          <w:b/>
          <w:bCs/>
        </w:rPr>
        <w:t>市委网信办</w:t>
      </w:r>
      <w:r>
        <w:rPr>
          <w:rFonts w:hint="eastAsia" w:ascii="仿宋_GB2312" w:hAnsi="仿宋_GB2312" w:cs="仿宋_GB2312"/>
        </w:rPr>
        <w:t>：</w:t>
      </w:r>
      <w:bookmarkEnd w:id="2105"/>
      <w:r>
        <w:rPr>
          <w:rFonts w:hint="eastAsia"/>
        </w:rPr>
        <w:t>配合主管部门协调开展重大突发事件网络舆情监测、研判、预警和联动处置，协调处置网上违法违规信息。配合主管部门合理引导金融突发事件网上舆论。根据网络信息传播规律，参与评估各区、各部门通报的金融突发事件风险程度，提出相关工作建议。</w:t>
      </w:r>
    </w:p>
    <w:p>
      <w:pPr>
        <w:snapToGrid w:val="0"/>
        <w:ind w:firstLine="643"/>
        <w:rPr>
          <w:rFonts w:ascii="仿宋_GB2312" w:hAnsi="仿宋_GB2312" w:cs="仿宋_GB2312"/>
          <w:bCs/>
          <w:szCs w:val="32"/>
        </w:rPr>
      </w:pPr>
      <w:r>
        <w:rPr>
          <w:rFonts w:hint="eastAsia"/>
          <w:b/>
        </w:rPr>
        <w:t>市发展改革委：</w:t>
      </w:r>
      <w:r>
        <w:rPr>
          <w:rFonts w:hint="eastAsia" w:ascii="仿宋_GB2312" w:hAnsi="仿宋_GB2312" w:cs="仿宋_GB2312"/>
          <w:bCs/>
          <w:szCs w:val="32"/>
        </w:rPr>
        <w:t>协助分析金融突发事件对本市经济形势和宏观经济运行产生的影响，并对事件处置提出政策措施建议。</w:t>
      </w:r>
    </w:p>
    <w:p>
      <w:pPr>
        <w:snapToGrid w:val="0"/>
        <w:ind w:firstLine="643"/>
        <w:rPr>
          <w:rFonts w:ascii="仿宋_GB2312" w:hAnsi="仿宋_GB2312" w:cs="仿宋_GB2312"/>
          <w:bCs/>
          <w:color w:val="000000" w:themeColor="text1"/>
          <w:szCs w:val="32"/>
          <w14:textFill>
            <w14:solidFill>
              <w14:schemeClr w14:val="tx1"/>
            </w14:solidFill>
          </w14:textFill>
        </w:rPr>
      </w:pPr>
      <w:r>
        <w:rPr>
          <w:rFonts w:hint="eastAsia"/>
          <w:b/>
          <w:color w:val="000000" w:themeColor="text1"/>
          <w14:textFill>
            <w14:solidFill>
              <w14:schemeClr w14:val="tx1"/>
            </w14:solidFill>
          </w14:textFill>
        </w:rPr>
        <w:t>市工业和信息化局：</w:t>
      </w:r>
      <w:r>
        <w:rPr>
          <w:rFonts w:hint="eastAsia"/>
        </w:rPr>
        <w:t>负责协调金融突发事件处置的公共移动通信保障并配合做好无线电监测等工作。</w:t>
      </w:r>
    </w:p>
    <w:p>
      <w:pPr>
        <w:snapToGrid w:val="0"/>
        <w:ind w:firstLine="643"/>
        <w:rPr>
          <w:rFonts w:ascii="仿宋_GB2312" w:hAnsi="仿宋_GB2312" w:cs="仿宋_GB2312"/>
          <w:bCs/>
          <w:szCs w:val="32"/>
        </w:rPr>
      </w:pPr>
      <w:r>
        <w:rPr>
          <w:rFonts w:hint="eastAsia"/>
          <w:b/>
        </w:rPr>
        <w:t>市公安局：</w:t>
      </w:r>
      <w:r>
        <w:rPr>
          <w:rFonts w:hint="eastAsia" w:ascii="仿宋_GB2312" w:hAnsi="仿宋_GB2312" w:cs="仿宋_GB2312"/>
          <w:bCs/>
          <w:szCs w:val="32"/>
        </w:rPr>
        <w:t>及时发现并搜集线索，对金融突发事件中涉嫌违法犯罪的行为及时依法立案侦查；对涉嫌刑事犯罪的涉案人员依法采取强制措施，依法查询、冻结、扣押涉案资产，最大限度挽回损失；组织预防和处置金融突发事件中的群体性事件；组织维护社会秩序，控制事态发展；参与评估各区、各部门通报的金融突发事件风险程度。</w:t>
      </w:r>
    </w:p>
    <w:p>
      <w:pPr>
        <w:snapToGrid w:val="0"/>
        <w:ind w:firstLine="643"/>
        <w:rPr>
          <w:rFonts w:ascii="仿宋_GB2312" w:hAnsi="仿宋_GB2312" w:cs="仿宋_GB2312"/>
          <w:bCs/>
          <w:szCs w:val="32"/>
        </w:rPr>
      </w:pPr>
      <w:r>
        <w:rPr>
          <w:rFonts w:hint="eastAsia"/>
          <w:b/>
        </w:rPr>
        <w:t>市司法局：</w:t>
      </w:r>
      <w:r>
        <w:rPr>
          <w:rFonts w:hint="eastAsia" w:ascii="仿宋_GB2312" w:hAnsi="仿宋_GB2312" w:cs="仿宋_GB2312"/>
          <w:bCs/>
          <w:szCs w:val="32"/>
        </w:rPr>
        <w:t>配合对金融突发事件处置过程中涉及的法律问题进行分析研究，提供法律意见。</w:t>
      </w:r>
    </w:p>
    <w:p>
      <w:pPr>
        <w:snapToGrid w:val="0"/>
        <w:ind w:firstLine="643"/>
        <w:rPr>
          <w:rFonts w:ascii="仿宋_GB2312" w:hAnsi="仿宋_GB2312" w:cs="仿宋_GB2312"/>
        </w:rPr>
      </w:pPr>
      <w:r>
        <w:rPr>
          <w:rFonts w:hint="eastAsia" w:ascii="仿宋_GB2312" w:hAnsi="仿宋_GB2312" w:cs="仿宋_GB2312"/>
          <w:b/>
          <w:bCs/>
        </w:rPr>
        <w:t>市财政局：</w:t>
      </w:r>
      <w:r>
        <w:rPr>
          <w:rFonts w:hint="eastAsia" w:cs="Times New Roman"/>
        </w:rPr>
        <w:t>负责金融突发事件市级应急资金保障</w:t>
      </w:r>
      <w:r>
        <w:rPr>
          <w:rFonts w:hint="eastAsia" w:ascii="仿宋_GB2312" w:hAnsi="仿宋_GB2312" w:cs="仿宋_GB2312"/>
        </w:rPr>
        <w:t>，报市政府批准后，及时划拨资金并对资金的使用情况进行监督；当需要国家财政出资救助时，按照市政府要求，报请省财政厅按相关程序办理；参与评估各区、各部门通报的金融突发事件风险程度。</w:t>
      </w:r>
      <w:r>
        <w:rPr>
          <w:rFonts w:hint="eastAsia"/>
        </w:rPr>
        <w:t>指导督促广州金控、广州银行、广州农商行等属市财政局监管的市属国有企业，依法依规处置因自身经营活动引发的金融突发事件。</w:t>
      </w:r>
    </w:p>
    <w:p>
      <w:pPr>
        <w:snapToGrid w:val="0"/>
        <w:ind w:firstLine="643"/>
        <w:rPr>
          <w:rFonts w:ascii="仿宋_GB2312" w:hAnsi="仿宋_GB2312" w:cs="仿宋_GB2312"/>
        </w:rPr>
      </w:pPr>
      <w:r>
        <w:rPr>
          <w:rFonts w:hint="eastAsia" w:ascii="仿宋_GB2312" w:hAnsi="仿宋_GB2312" w:cs="仿宋_GB2312"/>
          <w:b/>
          <w:bCs/>
        </w:rPr>
        <w:t>市人力资源和社会保障局：</w:t>
      </w:r>
      <w:r>
        <w:rPr>
          <w:rFonts w:hint="eastAsia" w:ascii="仿宋_GB2312" w:hAnsi="仿宋_GB2312" w:cs="仿宋_GB2312"/>
        </w:rPr>
        <w:t>负责引导涉事金融机构工作人员保障自身劳资福利，保障其合法权益。</w:t>
      </w:r>
    </w:p>
    <w:p>
      <w:pPr>
        <w:snapToGrid w:val="0"/>
        <w:ind w:firstLine="643"/>
        <w:rPr>
          <w:rFonts w:ascii="仿宋_GB2312" w:hAnsi="仿宋_GB2312" w:cs="仿宋_GB2312"/>
          <w:color w:val="000000" w:themeColor="text1"/>
          <w14:textFill>
            <w14:solidFill>
              <w14:schemeClr w14:val="tx1"/>
            </w14:solidFill>
          </w14:textFill>
        </w:rPr>
      </w:pPr>
      <w:r>
        <w:rPr>
          <w:rFonts w:hint="eastAsia" w:ascii="仿宋_GB2312" w:hAnsi="仿宋_GB2312" w:cs="仿宋_GB2312"/>
          <w:b/>
          <w:bCs/>
          <w:color w:val="000000" w:themeColor="text1"/>
          <w14:textFill>
            <w14:solidFill>
              <w14:schemeClr w14:val="tx1"/>
            </w14:solidFill>
          </w14:textFill>
        </w:rPr>
        <w:t>市商务局：</w:t>
      </w:r>
      <w:r>
        <w:rPr>
          <w:rFonts w:hint="eastAsia" w:ascii="仿宋_GB2312" w:hAnsi="仿宋_GB2312" w:cs="仿宋_GB2312"/>
          <w:color w:val="000000" w:themeColor="text1"/>
          <w14:textFill>
            <w14:solidFill>
              <w14:schemeClr w14:val="tx1"/>
            </w14:solidFill>
          </w14:textFill>
        </w:rPr>
        <w:t>负责处理金融突发事件涉本部门职责范围内的事项；提出相关工作建议。</w:t>
      </w:r>
    </w:p>
    <w:p>
      <w:pPr>
        <w:snapToGrid w:val="0"/>
        <w:ind w:firstLine="643"/>
        <w:rPr>
          <w:rFonts w:ascii="仿宋_GB2312" w:hAnsi="仿宋_GB2312" w:cs="仿宋_GB2312"/>
          <w:bCs/>
          <w:szCs w:val="32"/>
        </w:rPr>
      </w:pPr>
      <w:r>
        <w:rPr>
          <w:rFonts w:hint="eastAsia"/>
          <w:b/>
        </w:rPr>
        <w:t>市国资委</w:t>
      </w:r>
      <w:r>
        <w:rPr>
          <w:rFonts w:hint="eastAsia" w:ascii="仿宋_GB2312" w:hAnsi="仿宋_GB2312" w:cs="仿宋_GB2312"/>
          <w:bCs/>
          <w:szCs w:val="32"/>
        </w:rPr>
        <w:t>：</w:t>
      </w:r>
      <w:r>
        <w:rPr>
          <w:rFonts w:hint="eastAsia"/>
        </w:rPr>
        <w:t>指导督促市属国有企业（不含广州金控、广州银行、广州农商行）按监管部门要求，依法依规处置因自身经营活动引发的金融突发事件</w:t>
      </w:r>
      <w:r>
        <w:rPr>
          <w:rFonts w:hint="eastAsia" w:ascii="仿宋_GB2312" w:hAnsi="仿宋_GB2312" w:cs="仿宋_GB2312"/>
          <w:bCs/>
          <w:szCs w:val="32"/>
        </w:rPr>
        <w:t>。</w:t>
      </w:r>
    </w:p>
    <w:p>
      <w:pPr>
        <w:snapToGrid w:val="0"/>
        <w:ind w:firstLine="643"/>
        <w:rPr>
          <w:rFonts w:ascii="仿宋_GB2312" w:hAnsi="仿宋_GB2312" w:cs="仿宋_GB2312"/>
          <w:bCs/>
          <w:szCs w:val="32"/>
        </w:rPr>
      </w:pPr>
      <w:r>
        <w:rPr>
          <w:rFonts w:hint="eastAsia"/>
          <w:b/>
        </w:rPr>
        <w:t>市市场监管局：</w:t>
      </w:r>
      <w:r>
        <w:rPr>
          <w:rFonts w:hint="eastAsia" w:ascii="仿宋_GB2312" w:hAnsi="仿宋_GB2312" w:cs="仿宋_GB2312"/>
          <w:bCs/>
          <w:szCs w:val="32"/>
        </w:rPr>
        <w:t>依法负责市场主体的登记工作，协助金融管理（监管）部门对企业注册资本(金)开展管理和监控；在金融突发事件发生后，配合和协助有关部门查处违法犯罪行为。</w:t>
      </w:r>
    </w:p>
    <w:p>
      <w:pPr>
        <w:snapToGrid w:val="0"/>
        <w:ind w:firstLine="643"/>
        <w:rPr>
          <w:rFonts w:ascii="仿宋_GB2312" w:hAnsi="仿宋_GB2312" w:cs="仿宋_GB2312"/>
          <w:bCs/>
          <w:szCs w:val="32"/>
        </w:rPr>
      </w:pPr>
      <w:r>
        <w:rPr>
          <w:rFonts w:hint="eastAsia"/>
          <w:b/>
        </w:rPr>
        <w:t>市信访局：</w:t>
      </w:r>
      <w:r>
        <w:rPr>
          <w:rFonts w:hint="eastAsia" w:ascii="仿宋_GB2312" w:hAnsi="仿宋_GB2312" w:cs="仿宋_GB2312"/>
          <w:bCs/>
          <w:szCs w:val="32"/>
        </w:rPr>
        <w:t>指导全市因金融突发事件引发的群众信访工作；参与评估各区、各部门通报的金融突发事件风险程度；指导督促各区、有关部门开展金融领域社会矛盾排查化解工作；督促协调各区、各部门落实信访工作责任。</w:t>
      </w:r>
    </w:p>
    <w:p>
      <w:pPr>
        <w:snapToGrid w:val="0"/>
        <w:ind w:firstLine="643"/>
        <w:rPr>
          <w:rFonts w:ascii="仿宋_GB2312" w:hAnsi="仿宋_GB2312" w:cs="仿宋_GB2312"/>
          <w:bCs/>
          <w:szCs w:val="32"/>
        </w:rPr>
      </w:pPr>
      <w:bookmarkStart w:id="2106" w:name="_Toc17520"/>
      <w:r>
        <w:rPr>
          <w:rFonts w:hint="eastAsia" w:ascii="仿宋_GB2312" w:hAnsi="仿宋_GB2312" w:cs="仿宋_GB2312"/>
          <w:b/>
          <w:szCs w:val="32"/>
        </w:rPr>
        <w:t>市法院：</w:t>
      </w:r>
      <w:r>
        <w:rPr>
          <w:rFonts w:hint="eastAsia" w:ascii="仿宋_GB2312" w:hAnsi="仿宋_GB2312" w:cs="仿宋_GB2312"/>
          <w:bCs/>
          <w:szCs w:val="32"/>
        </w:rPr>
        <w:t>依法受理金融突发事件有关的案件并作出裁判，依法执行及处置。</w:t>
      </w:r>
      <w:bookmarkEnd w:id="2106"/>
    </w:p>
    <w:p>
      <w:pPr>
        <w:snapToGrid w:val="0"/>
        <w:ind w:firstLine="643"/>
        <w:rPr>
          <w:rFonts w:ascii="仿宋_GB2312" w:hAnsi="仿宋_GB2312" w:cs="仿宋_GB2312"/>
          <w:b/>
          <w:color w:val="000000" w:themeColor="text1"/>
          <w:szCs w:val="32"/>
          <w14:textFill>
            <w14:solidFill>
              <w14:schemeClr w14:val="tx1"/>
            </w14:solidFill>
          </w14:textFill>
        </w:rPr>
      </w:pPr>
      <w:r>
        <w:rPr>
          <w:rFonts w:hint="eastAsia" w:ascii="仿宋_GB2312" w:hAnsi="仿宋_GB2312" w:cs="仿宋_GB2312"/>
          <w:b/>
          <w:szCs w:val="32"/>
        </w:rPr>
        <w:t>市检察院：</w:t>
      </w:r>
      <w:r>
        <w:rPr>
          <w:rFonts w:hint="eastAsia"/>
        </w:rPr>
        <w:t>依法做好金融突发事件相关刑事犯罪案件的审查逮捕、审查起诉和诉讼监督工作，依法打击涉金融领域犯罪</w:t>
      </w:r>
      <w:r>
        <w:rPr>
          <w:rFonts w:hint="eastAsia" w:ascii="仿宋_GB2312" w:hAnsi="仿宋_GB2312" w:cs="仿宋_GB2312"/>
          <w:color w:val="000000" w:themeColor="text1"/>
          <w:szCs w:val="32"/>
          <w14:textFill>
            <w14:solidFill>
              <w14:schemeClr w14:val="tx1"/>
            </w14:solidFill>
          </w14:textFill>
        </w:rPr>
        <w:t>；为案件办理工作中的法律问题提供法律咨询和指导；监督相关案件的执行及处置。 </w:t>
      </w:r>
    </w:p>
    <w:p>
      <w:pPr>
        <w:snapToGrid w:val="0"/>
        <w:ind w:firstLine="643"/>
        <w:rPr>
          <w:rFonts w:ascii="仿宋_GB2312" w:hAnsi="仿宋_GB2312" w:cs="仿宋_GB2312"/>
          <w:bCs/>
          <w:szCs w:val="32"/>
        </w:rPr>
      </w:pPr>
      <w:r>
        <w:rPr>
          <w:rFonts w:hint="eastAsia"/>
          <w:b/>
        </w:rPr>
        <w:t>国家税务总局广州市税务局：</w:t>
      </w:r>
      <w:r>
        <w:rPr>
          <w:rFonts w:hint="eastAsia" w:ascii="仿宋_GB2312" w:hAnsi="仿宋_GB2312" w:cs="仿宋_GB2312"/>
          <w:bCs/>
          <w:szCs w:val="32"/>
        </w:rPr>
        <w:t>负责及时、准确提供金融突发事件涉事机构税务等相关情况。</w:t>
      </w:r>
    </w:p>
    <w:p>
      <w:pPr>
        <w:snapToGrid w:val="0"/>
        <w:ind w:firstLine="643"/>
        <w:rPr>
          <w:rFonts w:ascii="仿宋_GB2312" w:hAnsi="仿宋_GB2312" w:cs="仿宋_GB2312"/>
          <w:bCs/>
          <w:szCs w:val="32"/>
        </w:rPr>
      </w:pPr>
      <w:r>
        <w:rPr>
          <w:rFonts w:hint="eastAsia"/>
          <w:b/>
        </w:rPr>
        <w:t>事发地区人民政府：</w:t>
      </w:r>
      <w:r>
        <w:rPr>
          <w:rFonts w:hint="eastAsia" w:ascii="仿宋_GB2312" w:hAnsi="仿宋_GB2312" w:cs="仿宋_GB2312"/>
          <w:bCs/>
          <w:szCs w:val="32"/>
        </w:rPr>
        <w:t>按属地管理原则，指导及加强辖区内金融机构的安全防范工作，根据金融突发事件的响应级别，启动本地区金融突发事件应急预案，落实处置措施，维护属地金融安全和社会稳定。</w:t>
      </w:r>
    </w:p>
    <w:p>
      <w:pPr>
        <w:pStyle w:val="2"/>
        <w:ind w:firstLine="643"/>
        <w:rPr>
          <w:rFonts w:hint="default"/>
        </w:rPr>
      </w:pPr>
      <w:r>
        <w:t>其他成员单位：</w:t>
      </w:r>
      <w:r>
        <w:rPr>
          <w:rFonts w:ascii="仿宋_GB2312" w:hAnsi="仿宋_GB2312" w:eastAsia="仿宋_GB2312" w:cs="仿宋_GB2312"/>
          <w:b w:val="0"/>
          <w:bCs/>
          <w:kern w:val="2"/>
          <w:szCs w:val="32"/>
        </w:rPr>
        <w:t>按照</w:t>
      </w:r>
      <w:r>
        <w:rPr>
          <w:rFonts w:ascii="仿宋_GB2312" w:hAnsi="仿宋_GB2312" w:cs="仿宋_GB2312"/>
          <w:b w:val="0"/>
          <w:bCs/>
          <w:kern w:val="2"/>
          <w:szCs w:val="32"/>
        </w:rPr>
        <w:t>广州市金融突发事件应急指挥部</w:t>
      </w:r>
      <w:r>
        <w:rPr>
          <w:rFonts w:ascii="仿宋_GB2312" w:hAnsi="仿宋_GB2312" w:eastAsia="仿宋_GB2312" w:cs="仿宋_GB2312"/>
          <w:b w:val="0"/>
          <w:bCs/>
          <w:kern w:val="2"/>
          <w:szCs w:val="32"/>
        </w:rPr>
        <w:t>工作部署，</w:t>
      </w:r>
      <w:r>
        <w:rPr>
          <w:rFonts w:ascii="仿宋_GB2312" w:hAnsi="仿宋_GB2312" w:cs="仿宋_GB2312"/>
          <w:b w:val="0"/>
          <w:bCs/>
          <w:kern w:val="2"/>
          <w:szCs w:val="32"/>
        </w:rPr>
        <w:t>根据职责分工承担</w:t>
      </w:r>
      <w:r>
        <w:rPr>
          <w:rFonts w:ascii="仿宋_GB2312" w:hAnsi="仿宋_GB2312" w:eastAsia="仿宋_GB2312" w:cs="仿宋_GB2312"/>
          <w:b w:val="0"/>
          <w:bCs/>
          <w:kern w:val="2"/>
          <w:szCs w:val="32"/>
        </w:rPr>
        <w:t>本部门职责范围内的事项</w:t>
      </w:r>
      <w:r>
        <w:rPr>
          <w:rFonts w:ascii="仿宋_GB2312" w:hAnsi="仿宋_GB2312" w:cs="仿宋_GB2312"/>
          <w:b w:val="0"/>
          <w:bCs/>
          <w:kern w:val="2"/>
          <w:szCs w:val="32"/>
        </w:rPr>
        <w:t>，</w:t>
      </w:r>
      <w:r>
        <w:rPr>
          <w:rFonts w:ascii="仿宋_GB2312" w:hAnsi="仿宋_GB2312" w:eastAsia="仿宋_GB2312" w:cs="仿宋_GB2312"/>
          <w:b w:val="0"/>
          <w:bCs/>
          <w:kern w:val="2"/>
          <w:szCs w:val="32"/>
        </w:rPr>
        <w:t>参与评估</w:t>
      </w:r>
      <w:r>
        <w:rPr>
          <w:rFonts w:ascii="仿宋_GB2312" w:hAnsi="仿宋_GB2312" w:cs="仿宋_GB2312"/>
          <w:b w:val="0"/>
          <w:bCs/>
          <w:kern w:val="2"/>
          <w:szCs w:val="32"/>
        </w:rPr>
        <w:t>各区</w:t>
      </w:r>
      <w:r>
        <w:rPr>
          <w:rFonts w:ascii="仿宋_GB2312" w:hAnsi="仿宋_GB2312" w:eastAsia="仿宋_GB2312" w:cs="仿宋_GB2312"/>
          <w:b w:val="0"/>
          <w:bCs/>
          <w:kern w:val="2"/>
          <w:szCs w:val="32"/>
        </w:rPr>
        <w:t>、各部门通报的金融突发事件风险程度，</w:t>
      </w:r>
      <w:r>
        <w:rPr>
          <w:rFonts w:ascii="仿宋_GB2312" w:hAnsi="仿宋_GB2312" w:cs="仿宋_GB2312"/>
          <w:b w:val="0"/>
          <w:bCs/>
          <w:kern w:val="2"/>
          <w:szCs w:val="32"/>
        </w:rPr>
        <w:t>发挥专业优势</w:t>
      </w:r>
      <w:r>
        <w:rPr>
          <w:rFonts w:ascii="仿宋_GB2312" w:hAnsi="仿宋_GB2312" w:eastAsia="仿宋_GB2312" w:cs="仿宋_GB2312"/>
          <w:b w:val="0"/>
          <w:bCs/>
          <w:kern w:val="2"/>
          <w:szCs w:val="32"/>
        </w:rPr>
        <w:t>，配合做好金融突发事件</w:t>
      </w:r>
      <w:r>
        <w:rPr>
          <w:rFonts w:ascii="仿宋_GB2312" w:hAnsi="仿宋_GB2312" w:cs="仿宋_GB2312"/>
          <w:b w:val="0"/>
          <w:bCs/>
          <w:kern w:val="2"/>
          <w:szCs w:val="32"/>
        </w:rPr>
        <w:t>防范</w:t>
      </w:r>
      <w:r>
        <w:rPr>
          <w:rFonts w:ascii="仿宋_GB2312" w:hAnsi="仿宋_GB2312" w:eastAsia="仿宋_GB2312" w:cs="仿宋_GB2312"/>
          <w:b w:val="0"/>
          <w:bCs/>
          <w:kern w:val="2"/>
          <w:szCs w:val="32"/>
        </w:rPr>
        <w:t>处置工作。</w:t>
      </w:r>
      <w:bookmarkStart w:id="2107" w:name="_Toc8272"/>
      <w:bookmarkStart w:id="2108" w:name="_Toc4700"/>
      <w:bookmarkStart w:id="2109" w:name="_Toc19150"/>
    </w:p>
    <w:p>
      <w:pPr>
        <w:pStyle w:val="3"/>
        <w:ind w:firstLine="643"/>
        <w:jc w:val="left"/>
        <w:rPr>
          <w:b w:val="0"/>
          <w:bCs w:val="0"/>
        </w:rPr>
      </w:pPr>
      <w:r>
        <w:rPr>
          <w:rFonts w:hint="eastAsia"/>
          <w:bCs w:val="0"/>
        </w:rPr>
        <w:t>9.2　报告参考模板</w:t>
      </w:r>
      <w:bookmarkEnd w:id="2107"/>
      <w:bookmarkEnd w:id="2108"/>
      <w:bookmarkEnd w:id="2109"/>
    </w:p>
    <w:p>
      <w:pPr>
        <w:snapToGrid w:val="0"/>
        <w:ind w:firstLine="640"/>
        <w:jc w:val="left"/>
        <w:rPr>
          <w:bCs/>
        </w:rPr>
      </w:pPr>
      <w:r>
        <w:rPr>
          <w:rFonts w:hint="eastAsia"/>
          <w:bCs/>
        </w:rPr>
        <w:t>标题：XX 金融突发事件报告</w:t>
      </w:r>
    </w:p>
    <w:p>
      <w:pPr>
        <w:snapToGrid w:val="0"/>
        <w:ind w:firstLine="640"/>
        <w:jc w:val="left"/>
        <w:rPr>
          <w:bCs/>
        </w:rPr>
      </w:pPr>
      <w:r>
        <w:rPr>
          <w:rFonts w:hint="eastAsia"/>
          <w:bCs/>
        </w:rPr>
        <w:t>一、基本情况</w:t>
      </w:r>
    </w:p>
    <w:p>
      <w:pPr>
        <w:snapToGrid w:val="0"/>
        <w:ind w:firstLine="640"/>
        <w:jc w:val="left"/>
        <w:rPr>
          <w:bCs/>
        </w:rPr>
      </w:pPr>
      <w:r>
        <w:rPr>
          <w:rFonts w:hint="eastAsia"/>
          <w:bCs/>
        </w:rPr>
        <w:t>金融突发事件的机构名称、事件、地点。</w:t>
      </w:r>
    </w:p>
    <w:p>
      <w:pPr>
        <w:snapToGrid w:val="0"/>
        <w:ind w:firstLine="640"/>
        <w:jc w:val="left"/>
        <w:rPr>
          <w:bCs/>
        </w:rPr>
      </w:pPr>
      <w:r>
        <w:rPr>
          <w:rFonts w:hint="eastAsia"/>
          <w:bCs/>
        </w:rPr>
        <w:t>二、起因及经过</w:t>
      </w:r>
    </w:p>
    <w:p>
      <w:pPr>
        <w:snapToGrid w:val="0"/>
        <w:ind w:firstLine="640"/>
        <w:jc w:val="left"/>
        <w:rPr>
          <w:bCs/>
        </w:rPr>
      </w:pPr>
      <w:r>
        <w:rPr>
          <w:rFonts w:hint="eastAsia"/>
          <w:bCs/>
        </w:rPr>
        <w:t>简述事件的起因及经过。</w:t>
      </w:r>
    </w:p>
    <w:p>
      <w:pPr>
        <w:snapToGrid w:val="0"/>
        <w:ind w:firstLine="640"/>
        <w:jc w:val="left"/>
        <w:rPr>
          <w:bCs/>
        </w:rPr>
      </w:pPr>
      <w:r>
        <w:rPr>
          <w:rFonts w:hint="eastAsia"/>
          <w:bCs/>
        </w:rPr>
        <w:t>三、影响范围及程度</w:t>
      </w:r>
    </w:p>
    <w:p>
      <w:pPr>
        <w:snapToGrid w:val="0"/>
        <w:ind w:firstLine="640"/>
        <w:jc w:val="left"/>
        <w:rPr>
          <w:bCs/>
        </w:rPr>
      </w:pPr>
      <w:r>
        <w:rPr>
          <w:rFonts w:hint="eastAsia"/>
          <w:bCs/>
        </w:rPr>
        <w:t>评估事件的影响范围及程度（最好有详实的数据分析）。</w:t>
      </w:r>
    </w:p>
    <w:p>
      <w:pPr>
        <w:snapToGrid w:val="0"/>
        <w:ind w:firstLine="640"/>
        <w:jc w:val="left"/>
        <w:rPr>
          <w:bCs/>
        </w:rPr>
      </w:pPr>
      <w:r>
        <w:rPr>
          <w:rFonts w:hint="eastAsia"/>
          <w:bCs/>
        </w:rPr>
        <w:t>四、发展趋势</w:t>
      </w:r>
    </w:p>
    <w:p>
      <w:pPr>
        <w:snapToGrid w:val="0"/>
        <w:ind w:firstLine="640"/>
        <w:jc w:val="left"/>
        <w:rPr>
          <w:bCs/>
        </w:rPr>
      </w:pPr>
      <w:r>
        <w:rPr>
          <w:rFonts w:hint="eastAsia"/>
          <w:bCs/>
        </w:rPr>
        <w:t>发展趋势、可能造成的损失。</w:t>
      </w:r>
    </w:p>
    <w:p>
      <w:pPr>
        <w:snapToGrid w:val="0"/>
        <w:ind w:firstLine="640"/>
        <w:jc w:val="left"/>
        <w:rPr>
          <w:bCs/>
        </w:rPr>
      </w:pPr>
      <w:r>
        <w:rPr>
          <w:rFonts w:hint="eastAsia"/>
          <w:bCs/>
        </w:rPr>
        <w:t>五、已采取和拟采取的措施</w:t>
      </w:r>
    </w:p>
    <w:p>
      <w:pPr>
        <w:snapToGrid w:val="0"/>
        <w:ind w:firstLine="640"/>
        <w:jc w:val="left"/>
        <w:rPr>
          <w:bCs/>
        </w:rPr>
      </w:pPr>
      <w:r>
        <w:rPr>
          <w:rFonts w:hint="eastAsia"/>
          <w:bCs/>
        </w:rPr>
        <w:t>列举有关各方已采取和下一步拟采取的应对措施。</w:t>
      </w:r>
    </w:p>
    <w:p>
      <w:pPr>
        <w:snapToGrid w:val="0"/>
        <w:ind w:firstLine="640"/>
        <w:jc w:val="left"/>
        <w:rPr>
          <w:bCs/>
        </w:rPr>
      </w:pPr>
      <w:r>
        <w:rPr>
          <w:rFonts w:hint="eastAsia"/>
          <w:bCs/>
        </w:rPr>
        <w:t>六、有关意见建议</w:t>
      </w:r>
    </w:p>
    <w:p>
      <w:pPr>
        <w:pStyle w:val="2"/>
        <w:ind w:firstLine="643"/>
        <w:rPr>
          <w:rFonts w:hint="default"/>
        </w:rPr>
      </w:pPr>
    </w:p>
    <w:p>
      <w:pPr>
        <w:ind w:firstLine="640"/>
      </w:pPr>
    </w:p>
    <w:p>
      <w:pPr>
        <w:pStyle w:val="2"/>
        <w:ind w:firstLine="643"/>
        <w:rPr>
          <w:rFonts w:hint="default"/>
        </w:rPr>
      </w:pPr>
    </w:p>
    <w:p>
      <w:pPr>
        <w:ind w:firstLine="640"/>
      </w:pPr>
    </w:p>
    <w:p>
      <w:pPr>
        <w:pStyle w:val="2"/>
        <w:ind w:firstLine="643"/>
        <w:rPr>
          <w:rFonts w:hint="default"/>
        </w:rPr>
      </w:pPr>
    </w:p>
    <w:p>
      <w:pPr>
        <w:ind w:firstLine="640"/>
      </w:pPr>
    </w:p>
    <w:p>
      <w:pPr>
        <w:pStyle w:val="2"/>
        <w:ind w:firstLine="643"/>
        <w:rPr>
          <w:rFonts w:hint="default"/>
        </w:rPr>
      </w:pPr>
    </w:p>
    <w:p>
      <w:pPr>
        <w:pStyle w:val="2"/>
        <w:ind w:firstLine="643"/>
        <w:rPr>
          <w:rFonts w:hint="default"/>
        </w:rPr>
      </w:pPr>
    </w:p>
    <w:p>
      <w:pPr>
        <w:ind w:firstLine="640"/>
      </w:pPr>
    </w:p>
    <w:p>
      <w:pPr>
        <w:ind w:firstLine="643"/>
        <w:rPr>
          <w:rFonts w:eastAsia="楷体_GB2312"/>
          <w:b/>
          <w:szCs w:val="32"/>
        </w:rPr>
      </w:pPr>
    </w:p>
    <w:p>
      <w:pPr>
        <w:pStyle w:val="2"/>
        <w:ind w:firstLine="643"/>
        <w:rPr>
          <w:rFonts w:hint="default"/>
        </w:rPr>
      </w:pPr>
    </w:p>
    <w:p>
      <w:pPr>
        <w:ind w:firstLine="643"/>
        <w:rPr>
          <w:rFonts w:ascii="仿宋_GB2312" w:hAnsi="仿宋_GB2312" w:cs="仿宋_GB2312"/>
          <w:b/>
          <w:sz w:val="28"/>
          <w:szCs w:val="28"/>
        </w:rPr>
      </w:pPr>
      <w:r>
        <w:rPr>
          <w:rFonts w:hint="eastAsia" w:eastAsia="楷体_GB2312"/>
          <w:b/>
          <w:szCs w:val="32"/>
        </w:rPr>
        <w:t>9.3　Ⅲ级响应处置流程图</w:t>
      </w:r>
    </w:p>
    <w:p>
      <w:pPr>
        <w:pStyle w:val="2"/>
        <w:ind w:firstLine="643"/>
        <w:rPr>
          <w:rFonts w:hint="default"/>
        </w:rPr>
      </w:pPr>
      <w:r>
        <mc:AlternateContent>
          <mc:Choice Requires="wps">
            <w:drawing>
              <wp:anchor distT="0" distB="0" distL="114300" distR="114300" simplePos="0" relativeHeight="251661312" behindDoc="0" locked="0" layoutInCell="1" allowOverlap="1">
                <wp:simplePos x="0" y="0"/>
                <wp:positionH relativeFrom="column">
                  <wp:posOffset>304165</wp:posOffset>
                </wp:positionH>
                <wp:positionV relativeFrom="paragraph">
                  <wp:posOffset>69215</wp:posOffset>
                </wp:positionV>
                <wp:extent cx="1657350" cy="1179830"/>
                <wp:effectExtent l="38100" t="19050" r="0" b="58420"/>
                <wp:wrapNone/>
                <wp:docPr id="2" name="爆炸形 1 2"/>
                <wp:cNvGraphicFramePr/>
                <a:graphic xmlns:a="http://schemas.openxmlformats.org/drawingml/2006/main">
                  <a:graphicData uri="http://schemas.microsoft.com/office/word/2010/wordprocessingShape">
                    <wps:wsp>
                      <wps:cNvSpPr/>
                      <wps:spPr>
                        <a:xfrm>
                          <a:off x="0" y="0"/>
                          <a:ext cx="1657350" cy="1179830"/>
                        </a:xfrm>
                        <a:prstGeom prst="irregularSeal1">
                          <a:avLst/>
                        </a:prstGeom>
                        <a:solidFill>
                          <a:srgbClr val="FFFFFF"/>
                        </a:solidFill>
                        <a:ln w="9525" cap="flat" cmpd="sng">
                          <a:solidFill>
                            <a:srgbClr val="000000"/>
                          </a:solidFill>
                          <a:prstDash val="solid"/>
                          <a:miter/>
                          <a:headEnd type="none" w="med" len="med"/>
                          <a:tailEnd type="none" w="med" len="med"/>
                        </a:ln>
                      </wps:spPr>
                      <wps:txbx>
                        <w:txbxContent>
                          <w:p>
                            <w:pPr>
                              <w:ind w:left="240" w:hanging="240" w:hangingChars="100"/>
                              <w:rPr>
                                <w:rFonts w:ascii="仿宋_GB2312"/>
                                <w:sz w:val="24"/>
                              </w:rPr>
                            </w:pPr>
                            <w:r>
                              <w:rPr>
                                <w:rFonts w:hint="eastAsia" w:ascii="仿宋_GB2312"/>
                                <w:sz w:val="24"/>
                              </w:rPr>
                              <w:t>事件发生生</w:t>
                            </w:r>
                          </w:p>
                        </w:txbxContent>
                      </wps:txbx>
                      <wps:bodyPr upright="1">
                        <a:noAutofit/>
                      </wps:bodyPr>
                    </wps:wsp>
                  </a:graphicData>
                </a:graphic>
              </wp:anchor>
            </w:drawing>
          </mc:Choice>
          <mc:Fallback>
            <w:pict>
              <v:shape id="_x0000_s1026" o:spid="_x0000_s1026" o:spt="71" type="#_x0000_t71" style="position:absolute;left:0pt;margin-left:23.95pt;margin-top:5.45pt;height:92.9pt;width:130.5pt;z-index:251661312;mso-width-relative:page;mso-height-relative:page;" fillcolor="#FFFFFF" filled="t" stroked="t" coordsize="21600,21600" o:gfxdata="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JfJ7cfXAAAA&#10;CQEAAA8AAAAAAAAAAQAgAAAAIgAAAGRycy9kb3ducmV2LnhtbFBLAQIUABQAAAAIAIdO4kBUoIno&#10;HgIAAFMEAAAOAAAAAAAAAAEAIAAAACYBAABkcnMvZTJvRG9jLnhtbFBLBQYAAAAABgAGAFkBAAC2&#10;BQAAAAA=&#10;">
                <v:fill on="t" focussize="0,0"/>
                <v:stroke color="#000000" joinstyle="miter"/>
                <v:imagedata o:title=""/>
                <o:lock v:ext="edit" aspectratio="f"/>
                <v:textbox>
                  <w:txbxContent>
                    <w:p>
                      <w:pPr>
                        <w:ind w:left="240" w:hanging="240" w:hangingChars="100"/>
                        <w:rPr>
                          <w:rFonts w:ascii="仿宋_GB2312"/>
                          <w:sz w:val="24"/>
                        </w:rPr>
                      </w:pPr>
                      <w:r>
                        <w:rPr>
                          <w:rFonts w:hint="eastAsia" w:ascii="仿宋_GB2312"/>
                          <w:sz w:val="24"/>
                        </w:rPr>
                        <w:t>事件发生生</w:t>
                      </w:r>
                    </w:p>
                  </w:txbxContent>
                </v:textbox>
              </v:shape>
            </w:pict>
          </mc:Fallback>
        </mc:AlternateContent>
      </w:r>
    </w:p>
    <w:p>
      <w:pPr>
        <w:ind w:firstLine="0" w:firstLineChars="0"/>
      </w:pPr>
      <w:r>
        <mc:AlternateContent>
          <mc:Choice Requires="wps">
            <w:drawing>
              <wp:anchor distT="0" distB="0" distL="114300" distR="114300" simplePos="0" relativeHeight="251672576" behindDoc="0" locked="0" layoutInCell="1" allowOverlap="1">
                <wp:simplePos x="0" y="0"/>
                <wp:positionH relativeFrom="column">
                  <wp:posOffset>2045335</wp:posOffset>
                </wp:positionH>
                <wp:positionV relativeFrom="paragraph">
                  <wp:posOffset>247015</wp:posOffset>
                </wp:positionV>
                <wp:extent cx="3105150" cy="7620"/>
                <wp:effectExtent l="0" t="0" r="0" b="0"/>
                <wp:wrapNone/>
                <wp:docPr id="25" name="直接连接符 25"/>
                <wp:cNvGraphicFramePr/>
                <a:graphic xmlns:a="http://schemas.openxmlformats.org/drawingml/2006/main">
                  <a:graphicData uri="http://schemas.microsoft.com/office/word/2010/wordprocessingShape">
                    <wps:wsp>
                      <wps:cNvCnPr/>
                      <wps:spPr>
                        <a:xfrm flipV="1">
                          <a:off x="0" y="0"/>
                          <a:ext cx="3105150" cy="762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flip:y;margin-left:161.05pt;margin-top:19.45pt;height:0.6pt;width:244.5pt;z-index:251672576;mso-width-relative:page;mso-height-relative:page;" filled="f" stroked="t" coordsize="21600,21600" o:gfxdata="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MMLSeHWAAAACQEAAA8AAAAAAAAAAQAgAAAAIgAAAGRycy9kb3ducmV2LnhtbFBL&#10;AQIUABQAAAAIAIdO4kCnVcm3+AEAAOcDAAAOAAAAAAAAAAEAIAAAACUBAABkcnMvZTJvRG9jLnht&#10;bFBLBQYAAAAABgAGAFkBAACPBQ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73600" behindDoc="0" locked="0" layoutInCell="1" allowOverlap="1">
                <wp:simplePos x="0" y="0"/>
                <wp:positionH relativeFrom="column">
                  <wp:posOffset>5112385</wp:posOffset>
                </wp:positionH>
                <wp:positionV relativeFrom="paragraph">
                  <wp:posOffset>266065</wp:posOffset>
                </wp:positionV>
                <wp:extent cx="0" cy="1259205"/>
                <wp:effectExtent l="38100" t="0" r="38100" b="17145"/>
                <wp:wrapNone/>
                <wp:docPr id="4" name="直接连接符 4"/>
                <wp:cNvGraphicFramePr/>
                <a:graphic xmlns:a="http://schemas.openxmlformats.org/drawingml/2006/main">
                  <a:graphicData uri="http://schemas.microsoft.com/office/word/2010/wordprocessingShape">
                    <wps:wsp>
                      <wps:cNvCnPr/>
                      <wps:spPr>
                        <a:xfrm>
                          <a:off x="0" y="0"/>
                          <a:ext cx="0" cy="125920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_x0000_s1026" o:spid="_x0000_s1026" o:spt="20" style="position:absolute;left:0pt;margin-left:402.55pt;margin-top:20.95pt;height:99.15pt;width:0pt;z-index:251673600;mso-width-relative:page;mso-height-relative:page;" filled="f" stroked="t" coordsize="21600,21600" o:gfxdata="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un4WZ2QAAAAoBAAAPAAAAAAAAAAEAIAAAACIAAABkcnMvZG93bnJldi54bWxQSwECFAAU&#10;AAAACACHTuJAIfyWJfABAADcAwAADgAAAAAAAAABACAAAAAoAQAAZHJzL2Uyb0RvYy54bWxQSwUG&#10;AAAAAAYABgBZAQAAigUAAAAA&#10;">
                <v:fill on="f" focussize="0,0"/>
                <v:stroke color="#000000" joinstyle="round" endarrow="block"/>
                <v:imagedata o:title=""/>
                <o:lock v:ext="edit" aspectratio="f"/>
              </v:line>
            </w:pict>
          </mc:Fallback>
        </mc:AlternateContent>
      </w:r>
    </w:p>
    <w:p>
      <w:pPr>
        <w:pStyle w:val="2"/>
        <w:ind w:firstLine="643"/>
        <w:rPr>
          <w:rFonts w:hint="default"/>
        </w:rPr>
      </w:pPr>
      <w:r>
        <mc:AlternateContent>
          <mc:Choice Requires="wps">
            <w:drawing>
              <wp:anchor distT="0" distB="0" distL="114300" distR="114300" simplePos="0" relativeHeight="251662336" behindDoc="0" locked="0" layoutInCell="1" allowOverlap="1">
                <wp:simplePos x="0" y="0"/>
                <wp:positionH relativeFrom="column">
                  <wp:posOffset>1123315</wp:posOffset>
                </wp:positionH>
                <wp:positionV relativeFrom="paragraph">
                  <wp:posOffset>205740</wp:posOffset>
                </wp:positionV>
                <wp:extent cx="0" cy="349885"/>
                <wp:effectExtent l="38100" t="0" r="38100" b="12065"/>
                <wp:wrapNone/>
                <wp:docPr id="5" name="直接连接符 5"/>
                <wp:cNvGraphicFramePr/>
                <a:graphic xmlns:a="http://schemas.openxmlformats.org/drawingml/2006/main">
                  <a:graphicData uri="http://schemas.microsoft.com/office/word/2010/wordprocessingShape">
                    <wps:wsp>
                      <wps:cNvCnPr/>
                      <wps:spPr>
                        <a:xfrm>
                          <a:off x="0" y="0"/>
                          <a:ext cx="0" cy="34997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_x0000_s1026" o:spid="_x0000_s1026" o:spt="20" style="position:absolute;left:0pt;margin-left:88.45pt;margin-top:16.2pt;height:27.55pt;width:0pt;z-index:251662336;mso-width-relative:page;mso-height-relative:page;" filled="f" stroked="t" coordsize="21600,21600" o:gfxdata="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5juKE9gAAAAJAQAADwAAAAAAAAABACAAAAAiAAAAZHJzL2Rvd25yZXYueG1sUEsBAhQA&#10;FAAAAAgAh07iQPUseuDyAQAA2wMAAA4AAAAAAAAAAQAgAAAAJwEAAGRycy9lMm9Eb2MueG1sUEsF&#10;BgAAAAAGAAYAWQEAAIsFAAAAAA==&#10;">
                <v:fill on="f" focussize="0,0"/>
                <v:stroke color="#000000" joinstyle="round" endarrow="block"/>
                <v:imagedata o:title=""/>
                <o:lock v:ext="edit" aspectratio="f"/>
              </v:line>
            </w:pict>
          </mc:Fallback>
        </mc:AlternateContent>
      </w:r>
    </w:p>
    <w:p>
      <w:pPr>
        <w:ind w:firstLine="640"/>
      </w:pPr>
      <w:r>
        <mc:AlternateContent>
          <mc:Choice Requires="wps">
            <w:drawing>
              <wp:anchor distT="0" distB="0" distL="114300" distR="114300" simplePos="0" relativeHeight="251663360" behindDoc="0" locked="0" layoutInCell="1" allowOverlap="1">
                <wp:simplePos x="0" y="0"/>
                <wp:positionH relativeFrom="column">
                  <wp:posOffset>-82550</wp:posOffset>
                </wp:positionH>
                <wp:positionV relativeFrom="paragraph">
                  <wp:posOffset>276860</wp:posOffset>
                </wp:positionV>
                <wp:extent cx="2743200" cy="537210"/>
                <wp:effectExtent l="5080" t="5080" r="13970" b="10160"/>
                <wp:wrapNone/>
                <wp:docPr id="6" name="矩形 6"/>
                <wp:cNvGraphicFramePr/>
                <a:graphic xmlns:a="http://schemas.openxmlformats.org/drawingml/2006/main">
                  <a:graphicData uri="http://schemas.microsoft.com/office/word/2010/wordprocessingShape">
                    <wps:wsp>
                      <wps:cNvSpPr/>
                      <wps:spPr>
                        <a:xfrm>
                          <a:off x="0" y="0"/>
                          <a:ext cx="2743397" cy="537382"/>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atLeast"/>
                              <w:ind w:firstLine="0" w:firstLineChars="0"/>
                              <w:rPr>
                                <w:rFonts w:ascii="仿宋_GB2312"/>
                                <w:sz w:val="24"/>
                              </w:rPr>
                            </w:pPr>
                            <w:r>
                              <w:rPr>
                                <w:rFonts w:hint="eastAsia" w:ascii="仿宋_GB2312"/>
                                <w:sz w:val="24"/>
                              </w:rPr>
                              <w:t>相关单位启动应急预案，及时报告上级部门、市政府和应急指挥部办公室</w:t>
                            </w:r>
                          </w:p>
                        </w:txbxContent>
                      </wps:txbx>
                      <wps:bodyPr upright="1"/>
                    </wps:wsp>
                  </a:graphicData>
                </a:graphic>
              </wp:anchor>
            </w:drawing>
          </mc:Choice>
          <mc:Fallback>
            <w:pict>
              <v:rect id="_x0000_s1026" o:spid="_x0000_s1026" o:spt="1" style="position:absolute;left:0pt;margin-left:-6.5pt;margin-top:21.8pt;height:42.3pt;width:216pt;z-index:251663360;mso-width-relative:page;mso-height-relative:page;" fillcolor="#FFFFFF" filled="t" stroked="t" coordsize="21600,21600" o:gfxdata="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K4QfDHZAAAACgEAAA8AAAAAAAAAAQAgAAAAIgAAAGRycy9k&#10;b3ducmV2LnhtbFBLAQIUABQAAAAIAIdO4kCP+wuEAQIAACkEAAAOAAAAAAAAAAEAIAAAACgBAABk&#10;cnMvZTJvRG9jLnhtbFBLBQYAAAAABgAGAFkBAACbBQAAAAA=&#10;">
                <v:fill on="t" focussize="0,0"/>
                <v:stroke color="#000000" joinstyle="miter"/>
                <v:imagedata o:title=""/>
                <o:lock v:ext="edit" aspectratio="f"/>
                <v:textbox>
                  <w:txbxContent>
                    <w:p>
                      <w:pPr>
                        <w:spacing w:line="240" w:lineRule="atLeast"/>
                        <w:ind w:firstLine="0" w:firstLineChars="0"/>
                        <w:rPr>
                          <w:rFonts w:ascii="仿宋_GB2312"/>
                          <w:sz w:val="24"/>
                        </w:rPr>
                      </w:pPr>
                      <w:r>
                        <w:rPr>
                          <w:rFonts w:hint="eastAsia" w:ascii="仿宋_GB2312"/>
                          <w:sz w:val="24"/>
                        </w:rPr>
                        <w:t>相关单位启动应急预案，及时报告上级部门、市政府和应急指挥部办公室</w:t>
                      </w:r>
                    </w:p>
                  </w:txbxContent>
                </v:textbox>
              </v:rect>
            </w:pict>
          </mc:Fallback>
        </mc:AlternateContent>
      </w:r>
    </w:p>
    <w:p>
      <w:pPr>
        <w:pStyle w:val="2"/>
        <w:ind w:firstLine="643"/>
        <w:rPr>
          <w:rFonts w:hint="default"/>
        </w:rPr>
      </w:pPr>
    </w:p>
    <w:p>
      <w:pPr>
        <w:ind w:firstLine="640"/>
      </w:pPr>
      <w:r>
        <mc:AlternateContent>
          <mc:Choice Requires="wps">
            <w:drawing>
              <wp:anchor distT="0" distB="0" distL="114300" distR="114300" simplePos="0" relativeHeight="251674624" behindDoc="0" locked="0" layoutInCell="1" allowOverlap="1">
                <wp:simplePos x="0" y="0"/>
                <wp:positionH relativeFrom="column">
                  <wp:posOffset>4037965</wp:posOffset>
                </wp:positionH>
                <wp:positionV relativeFrom="paragraph">
                  <wp:posOffset>234950</wp:posOffset>
                </wp:positionV>
                <wp:extent cx="2130425" cy="693420"/>
                <wp:effectExtent l="4445" t="4445" r="17780" b="6985"/>
                <wp:wrapNone/>
                <wp:docPr id="7" name="矩形 7"/>
                <wp:cNvGraphicFramePr/>
                <a:graphic xmlns:a="http://schemas.openxmlformats.org/drawingml/2006/main">
                  <a:graphicData uri="http://schemas.microsoft.com/office/word/2010/wordprocessingShape">
                    <wps:wsp>
                      <wps:cNvSpPr/>
                      <wps:spPr>
                        <a:xfrm>
                          <a:off x="0" y="0"/>
                          <a:ext cx="2130674" cy="6934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atLeast"/>
                              <w:ind w:firstLine="0" w:firstLineChars="0"/>
                              <w:rPr>
                                <w:rFonts w:ascii="仿宋_GB2312" w:cs="Times New Roman"/>
                                <w:sz w:val="24"/>
                              </w:rPr>
                            </w:pPr>
                            <w:r>
                              <w:rPr>
                                <w:rFonts w:hint="eastAsia" w:ascii="仿宋_GB2312" w:cs="Times New Roman"/>
                                <w:sz w:val="24"/>
                              </w:rPr>
                              <w:t>市政府有关单位建立新闻发言人制度，做好宣传、解释工作，加强舆论引导</w:t>
                            </w:r>
                          </w:p>
                        </w:txbxContent>
                      </wps:txbx>
                      <wps:bodyPr upright="1"/>
                    </wps:wsp>
                  </a:graphicData>
                </a:graphic>
              </wp:anchor>
            </w:drawing>
          </mc:Choice>
          <mc:Fallback>
            <w:pict>
              <v:rect id="_x0000_s1026" o:spid="_x0000_s1026" o:spt="1" style="position:absolute;left:0pt;margin-left:317.95pt;margin-top:18.5pt;height:54.6pt;width:167.75pt;z-index:251674624;mso-width-relative:page;mso-height-relative:page;" fillcolor="#FFFFFF" filled="t" stroked="t" coordsize="21600,21600" o:gfxdata="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sO53L2QAAAAoBAAAPAAAAAAAAAAEAIAAAACIAAABk&#10;cnMvZG93bnJldi54bWxQSwECFAAUAAAACACHTuJAjCr1PwUCAAApBAAADgAAAAAAAAABACAAAAAo&#10;AQAAZHJzL2Uyb0RvYy54bWxQSwUGAAAAAAYABgBZAQAAnwUAAAAA&#10;">
                <v:fill on="t" focussize="0,0"/>
                <v:stroke color="#000000" joinstyle="miter"/>
                <v:imagedata o:title=""/>
                <o:lock v:ext="edit" aspectratio="f"/>
                <v:textbox>
                  <w:txbxContent>
                    <w:p>
                      <w:pPr>
                        <w:spacing w:line="240" w:lineRule="atLeast"/>
                        <w:ind w:firstLine="0" w:firstLineChars="0"/>
                        <w:rPr>
                          <w:rFonts w:ascii="仿宋_GB2312" w:cs="Times New Roman"/>
                          <w:sz w:val="24"/>
                        </w:rPr>
                      </w:pPr>
                      <w:r>
                        <w:rPr>
                          <w:rFonts w:hint="eastAsia" w:ascii="仿宋_GB2312" w:cs="Times New Roman"/>
                          <w:sz w:val="24"/>
                        </w:rPr>
                        <w:t>市政府有关单位建立新闻发言人制度，做好宣传、解释工作，加强舆论引导</w:t>
                      </w:r>
                    </w:p>
                  </w:txbxContent>
                </v:textbox>
              </v:rect>
            </w:pict>
          </mc:Fallback>
        </mc:AlternateContent>
      </w:r>
      <w:r>
        <mc:AlternateContent>
          <mc:Choice Requires="wps">
            <w:drawing>
              <wp:anchor distT="0" distB="0" distL="114300" distR="114300" simplePos="0" relativeHeight="251667456" behindDoc="0" locked="0" layoutInCell="1" allowOverlap="1">
                <wp:simplePos x="0" y="0"/>
                <wp:positionH relativeFrom="column">
                  <wp:posOffset>1085215</wp:posOffset>
                </wp:positionH>
                <wp:positionV relativeFrom="paragraph">
                  <wp:posOffset>120015</wp:posOffset>
                </wp:positionV>
                <wp:extent cx="0" cy="349885"/>
                <wp:effectExtent l="38100" t="0" r="38100" b="12065"/>
                <wp:wrapNone/>
                <wp:docPr id="19" name="直接连接符 19"/>
                <wp:cNvGraphicFramePr/>
                <a:graphic xmlns:a="http://schemas.openxmlformats.org/drawingml/2006/main">
                  <a:graphicData uri="http://schemas.microsoft.com/office/word/2010/wordprocessingShape">
                    <wps:wsp>
                      <wps:cNvCnPr/>
                      <wps:spPr>
                        <a:xfrm>
                          <a:off x="0" y="0"/>
                          <a:ext cx="0" cy="34988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_x0000_s1026" o:spid="_x0000_s1026" o:spt="20" style="position:absolute;left:0pt;margin-left:85.45pt;margin-top:9.45pt;height:27.55pt;width:0pt;z-index:251667456;mso-width-relative:page;mso-height-relative:page;" filled="f" stroked="t" coordsize="21600,21600" o:gfxdata="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HTCQa/XAAAACQEAAA8AAAAAAAAAAQAgAAAAIgAAAGRycy9kb3ducmV2LnhtbFBLAQIUABQA&#10;AAAIAIdO4kDinC088QEAAN0DAAAOAAAAAAAAAAEAIAAAACYBAABkcnMvZTJvRG9jLnhtbFBLBQYA&#10;AAAABgAGAFkBAACJBQAAAAA=&#10;">
                <v:fill on="f" focussize="0,0"/>
                <v:stroke color="#000000" joinstyle="round" endarrow="block"/>
                <v:imagedata o:title=""/>
                <o:lock v:ext="edit" aspectratio="f"/>
              </v:line>
            </w:pict>
          </mc:Fallback>
        </mc:AlternateContent>
      </w:r>
    </w:p>
    <w:p>
      <w:pPr>
        <w:pStyle w:val="2"/>
        <w:ind w:firstLine="643"/>
        <w:rPr>
          <w:rFonts w:hint="default"/>
        </w:rPr>
      </w:pPr>
      <w:r>
        <mc:AlternateContent>
          <mc:Choice Requires="wps">
            <w:drawing>
              <wp:anchor distT="0" distB="0" distL="114300" distR="114300" simplePos="0" relativeHeight="251664384" behindDoc="0" locked="0" layoutInCell="1" allowOverlap="1">
                <wp:simplePos x="0" y="0"/>
                <wp:positionH relativeFrom="column">
                  <wp:posOffset>-256540</wp:posOffset>
                </wp:positionH>
                <wp:positionV relativeFrom="paragraph">
                  <wp:posOffset>127635</wp:posOffset>
                </wp:positionV>
                <wp:extent cx="3574415" cy="552450"/>
                <wp:effectExtent l="0" t="0" r="26035" b="19050"/>
                <wp:wrapNone/>
                <wp:docPr id="11" name="矩形 11"/>
                <wp:cNvGraphicFramePr/>
                <a:graphic xmlns:a="http://schemas.openxmlformats.org/drawingml/2006/main">
                  <a:graphicData uri="http://schemas.microsoft.com/office/word/2010/wordprocessingShape">
                    <wps:wsp>
                      <wps:cNvSpPr/>
                      <wps:spPr>
                        <a:xfrm>
                          <a:off x="0" y="0"/>
                          <a:ext cx="3574415" cy="5524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0" w:firstLineChars="0"/>
                              <w:rPr>
                                <w:rFonts w:ascii="仿宋_GB2312"/>
                                <w:sz w:val="24"/>
                              </w:rPr>
                            </w:pPr>
                            <w:r>
                              <w:rPr>
                                <w:rFonts w:hint="eastAsia" w:ascii="仿宋_GB2312"/>
                                <w:sz w:val="24"/>
                              </w:rPr>
                              <w:t>应急</w:t>
                            </w:r>
                            <w:r>
                              <w:rPr>
                                <w:rFonts w:ascii="仿宋_GB2312"/>
                                <w:sz w:val="24"/>
                              </w:rPr>
                              <w:t>指挥部办公室报请应急指挥部决定启动</w:t>
                            </w:r>
                            <w:r>
                              <w:rPr>
                                <w:rFonts w:hint="eastAsia" w:ascii="仿宋_GB2312"/>
                                <w:sz w:val="24"/>
                              </w:rPr>
                              <w:t>本预案</w:t>
                            </w:r>
                          </w:p>
                        </w:txbxContent>
                      </wps:txbx>
                      <wps:bodyPr upright="1"/>
                    </wps:wsp>
                  </a:graphicData>
                </a:graphic>
              </wp:anchor>
            </w:drawing>
          </mc:Choice>
          <mc:Fallback>
            <w:pict>
              <v:rect id="_x0000_s1026" o:spid="_x0000_s1026" o:spt="1" style="position:absolute;left:0pt;margin-left:-20.2pt;margin-top:10.05pt;height:43.5pt;width:281.45pt;z-index:251664384;mso-width-relative:page;mso-height-relative:page;" fillcolor="#FFFFFF" filled="t" stroked="t" coordsize="21600,21600" o:gfxdata="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M/GE92AAAAAoBAAAPAAAAAAAAAAEAIAAAACIAAABkcnMv&#10;ZG93bnJldi54bWxQSwECFAAUAAAACACHTuJAQ+scaAMCAAArBAAADgAAAAAAAAABACAAAAAnAQAA&#10;ZHJzL2Uyb0RvYy54bWxQSwUGAAAAAAYABgBZAQAAnAUAAAAA&#10;">
                <v:fill on="t" focussize="0,0"/>
                <v:stroke color="#000000" joinstyle="miter"/>
                <v:imagedata o:title=""/>
                <o:lock v:ext="edit" aspectratio="f"/>
                <v:textbox>
                  <w:txbxContent>
                    <w:p>
                      <w:pPr>
                        <w:ind w:firstLine="0" w:firstLineChars="0"/>
                        <w:rPr>
                          <w:rFonts w:ascii="仿宋_GB2312"/>
                          <w:sz w:val="24"/>
                        </w:rPr>
                      </w:pPr>
                      <w:r>
                        <w:rPr>
                          <w:rFonts w:hint="eastAsia" w:ascii="仿宋_GB2312"/>
                          <w:sz w:val="24"/>
                        </w:rPr>
                        <w:t>应急</w:t>
                      </w:r>
                      <w:r>
                        <w:rPr>
                          <w:rFonts w:ascii="仿宋_GB2312"/>
                          <w:sz w:val="24"/>
                        </w:rPr>
                        <w:t>指挥部办公室报请应急指挥部决定启动</w:t>
                      </w:r>
                      <w:r>
                        <w:rPr>
                          <w:rFonts w:hint="eastAsia" w:ascii="仿宋_GB2312"/>
                          <w:sz w:val="24"/>
                        </w:rPr>
                        <w:t>本预案</w:t>
                      </w:r>
                    </w:p>
                  </w:txbxContent>
                </v:textbox>
              </v:rect>
            </w:pict>
          </mc:Fallback>
        </mc:AlternateContent>
      </w:r>
    </w:p>
    <w:p>
      <w:pPr>
        <w:ind w:firstLine="640"/>
      </w:pPr>
      <w:r>
        <mc:AlternateContent>
          <mc:Choice Requires="wps">
            <w:drawing>
              <wp:anchor distT="0" distB="0" distL="114300" distR="114300" simplePos="0" relativeHeight="251668480" behindDoc="0" locked="0" layoutInCell="1" allowOverlap="1">
                <wp:simplePos x="0" y="0"/>
                <wp:positionH relativeFrom="column">
                  <wp:posOffset>1123315</wp:posOffset>
                </wp:positionH>
                <wp:positionV relativeFrom="paragraph">
                  <wp:posOffset>347980</wp:posOffset>
                </wp:positionV>
                <wp:extent cx="0" cy="349885"/>
                <wp:effectExtent l="76200" t="0" r="76200" b="50165"/>
                <wp:wrapNone/>
                <wp:docPr id="20" name="直接连接符 20"/>
                <wp:cNvGraphicFramePr/>
                <a:graphic xmlns:a="http://schemas.openxmlformats.org/drawingml/2006/main">
                  <a:graphicData uri="http://schemas.microsoft.com/office/word/2010/wordprocessingShape">
                    <wps:wsp>
                      <wps:cNvCnPr/>
                      <wps:spPr>
                        <a:xfrm>
                          <a:off x="0" y="0"/>
                          <a:ext cx="0" cy="34988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_x0000_s1026" o:spid="_x0000_s1026" o:spt="20" style="position:absolute;left:0pt;margin-left:88.45pt;margin-top:27.4pt;height:27.55pt;width:0pt;z-index:251668480;mso-width-relative:page;mso-height-relative:page;" filled="f" stroked="t" coordsize="21600,21600" o:gfxdata="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4p++ztkAAAAKAQAADwAAAAAAAAABACAAAAAiAAAAZHJzL2Rvd25yZXYueG1sUEsBAhQA&#10;FAAAAAgAh07iQMPaJsnxAQAA3QMAAA4AAAAAAAAAAQAgAAAAKAEAAGRycy9lMm9Eb2MueG1sUEsF&#10;BgAAAAAGAAYAWQEAAIsFAAAAAA==&#10;">
                <v:fill on="f" focussize="0,0"/>
                <v:stroke color="#000000" joinstyle="round" endarrow="block"/>
                <v:imagedata o:title=""/>
                <o:lock v:ext="edit" aspectratio="f"/>
              </v:line>
            </w:pict>
          </mc:Fallback>
        </mc:AlternateContent>
      </w:r>
    </w:p>
    <w:p>
      <w:pPr>
        <w:pStyle w:val="2"/>
        <w:ind w:firstLine="361"/>
        <w:rPr>
          <w:rFonts w:hint="default" w:ascii="仿宋_GB2312" w:eastAsia="仿宋_GB2312"/>
          <w:color w:val="000000"/>
          <w:sz w:val="18"/>
          <w:szCs w:val="18"/>
        </w:rPr>
      </w:pPr>
      <w:r>
        <w:rPr>
          <w:rFonts w:ascii="仿宋_GB2312" w:eastAsia="仿宋_GB2312"/>
          <w:color w:val="000000"/>
          <w:sz w:val="18"/>
          <w:szCs w:val="18"/>
        </w:rPr>
        <mc:AlternateContent>
          <mc:Choice Requires="wps">
            <w:drawing>
              <wp:anchor distT="0" distB="0" distL="114300" distR="114300" simplePos="0" relativeHeight="251659264" behindDoc="0" locked="0" layoutInCell="1" allowOverlap="1">
                <wp:simplePos x="0" y="0"/>
                <wp:positionH relativeFrom="column">
                  <wp:posOffset>-332105</wp:posOffset>
                </wp:positionH>
                <wp:positionV relativeFrom="paragraph">
                  <wp:posOffset>354965</wp:posOffset>
                </wp:positionV>
                <wp:extent cx="3723640" cy="850265"/>
                <wp:effectExtent l="0" t="0" r="10160" b="26035"/>
                <wp:wrapNone/>
                <wp:docPr id="39" name="矩形 39"/>
                <wp:cNvGraphicFramePr/>
                <a:graphic xmlns:a="http://schemas.openxmlformats.org/drawingml/2006/main">
                  <a:graphicData uri="http://schemas.microsoft.com/office/word/2010/wordprocessingShape">
                    <wps:wsp>
                      <wps:cNvSpPr/>
                      <wps:spPr>
                        <a:xfrm>
                          <a:off x="0" y="0"/>
                          <a:ext cx="3723640" cy="85026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0" w:firstLineChars="0"/>
                              <w:rPr>
                                <w:rFonts w:ascii="仿宋_GB2312"/>
                                <w:sz w:val="24"/>
                              </w:rPr>
                            </w:pPr>
                            <w:r>
                              <w:rPr>
                                <w:rFonts w:hint="eastAsia" w:ascii="仿宋_GB2312"/>
                                <w:sz w:val="24"/>
                              </w:rPr>
                              <w:t>各单位</w:t>
                            </w:r>
                            <w:r>
                              <w:rPr>
                                <w:rFonts w:ascii="仿宋_GB2312"/>
                                <w:sz w:val="24"/>
                              </w:rPr>
                              <w:t>立即启动本单位的应急预案，</w:t>
                            </w:r>
                            <w:r>
                              <w:rPr>
                                <w:rFonts w:hint="eastAsia" w:ascii="仿宋_GB2312"/>
                                <w:sz w:val="24"/>
                              </w:rPr>
                              <w:t>在</w:t>
                            </w:r>
                            <w:r>
                              <w:rPr>
                                <w:rFonts w:ascii="仿宋_GB2312"/>
                                <w:sz w:val="24"/>
                              </w:rPr>
                              <w:t>本单位</w:t>
                            </w:r>
                            <w:r>
                              <w:rPr>
                                <w:rFonts w:hint="eastAsia" w:ascii="仿宋_GB2312"/>
                                <w:sz w:val="24"/>
                              </w:rPr>
                              <w:t>职责范围</w:t>
                            </w:r>
                            <w:r>
                              <w:rPr>
                                <w:rFonts w:ascii="仿宋_GB2312"/>
                                <w:sz w:val="24"/>
                              </w:rPr>
                              <w:t>内指导处置工作，及时切断风险源</w:t>
                            </w:r>
                          </w:p>
                        </w:txbxContent>
                      </wps:txbx>
                      <wps:bodyPr wrap="square" upright="1">
                        <a:noAutofit/>
                      </wps:bodyPr>
                    </wps:wsp>
                  </a:graphicData>
                </a:graphic>
              </wp:anchor>
            </w:drawing>
          </mc:Choice>
          <mc:Fallback>
            <w:pict>
              <v:rect id="_x0000_s1026" o:spid="_x0000_s1026" o:spt="1" style="position:absolute;left:0pt;margin-left:-26.15pt;margin-top:27.95pt;height:66.95pt;width:293.2pt;z-index:251659264;mso-width-relative:page;mso-height-relative:page;" fillcolor="#FFFFFF" filled="t" stroked="t" coordsize="21600,21600" o:gfxdata="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AmURAbYAAAACgEAAA8A&#10;AAAAAAAAAQAgAAAAIgAAAGRycy9kb3ducmV2LnhtbFBLAQIUABQAAAAIAIdO4kBIU9u7FwIAAFME&#10;AAAOAAAAAAAAAAEAIAAAACcBAABkcnMvZTJvRG9jLnhtbFBLBQYAAAAABgAGAFkBAACwBQAAAAA=&#10;">
                <v:fill on="t" focussize="0,0"/>
                <v:stroke color="#000000" joinstyle="miter"/>
                <v:imagedata o:title=""/>
                <o:lock v:ext="edit" aspectratio="f"/>
                <v:textbox>
                  <w:txbxContent>
                    <w:p>
                      <w:pPr>
                        <w:ind w:firstLine="0" w:firstLineChars="0"/>
                        <w:rPr>
                          <w:rFonts w:ascii="仿宋_GB2312"/>
                          <w:sz w:val="24"/>
                        </w:rPr>
                      </w:pPr>
                      <w:r>
                        <w:rPr>
                          <w:rFonts w:hint="eastAsia" w:ascii="仿宋_GB2312"/>
                          <w:sz w:val="24"/>
                        </w:rPr>
                        <w:t>各单位</w:t>
                      </w:r>
                      <w:r>
                        <w:rPr>
                          <w:rFonts w:ascii="仿宋_GB2312"/>
                          <w:sz w:val="24"/>
                        </w:rPr>
                        <w:t>立即启动本单位的应急预案，</w:t>
                      </w:r>
                      <w:r>
                        <w:rPr>
                          <w:rFonts w:hint="eastAsia" w:ascii="仿宋_GB2312"/>
                          <w:sz w:val="24"/>
                        </w:rPr>
                        <w:t>在</w:t>
                      </w:r>
                      <w:r>
                        <w:rPr>
                          <w:rFonts w:ascii="仿宋_GB2312"/>
                          <w:sz w:val="24"/>
                        </w:rPr>
                        <w:t>本单位</w:t>
                      </w:r>
                      <w:r>
                        <w:rPr>
                          <w:rFonts w:hint="eastAsia" w:ascii="仿宋_GB2312"/>
                          <w:sz w:val="24"/>
                        </w:rPr>
                        <w:t>职责范围</w:t>
                      </w:r>
                      <w:r>
                        <w:rPr>
                          <w:rFonts w:ascii="仿宋_GB2312"/>
                          <w:sz w:val="24"/>
                        </w:rPr>
                        <w:t>内指导处置工作，及时切断风险源</w:t>
                      </w:r>
                    </w:p>
                  </w:txbxContent>
                </v:textbox>
              </v:rect>
            </w:pict>
          </mc:Fallback>
        </mc:AlternateContent>
      </w:r>
      <w:r>
        <mc:AlternateContent>
          <mc:Choice Requires="wps">
            <w:drawing>
              <wp:anchor distT="0" distB="0" distL="114300" distR="114300" simplePos="0" relativeHeight="251666432" behindDoc="0" locked="0" layoutInCell="1" allowOverlap="1">
                <wp:simplePos x="0" y="0"/>
                <wp:positionH relativeFrom="column">
                  <wp:posOffset>-264795</wp:posOffset>
                </wp:positionH>
                <wp:positionV relativeFrom="paragraph">
                  <wp:posOffset>4730750</wp:posOffset>
                </wp:positionV>
                <wp:extent cx="3644265" cy="660400"/>
                <wp:effectExtent l="0" t="0" r="13335" b="25400"/>
                <wp:wrapNone/>
                <wp:docPr id="24" name="矩形 24"/>
                <wp:cNvGraphicFramePr/>
                <a:graphic xmlns:a="http://schemas.openxmlformats.org/drawingml/2006/main">
                  <a:graphicData uri="http://schemas.microsoft.com/office/word/2010/wordprocessingShape">
                    <wps:wsp>
                      <wps:cNvSpPr/>
                      <wps:spPr>
                        <a:xfrm>
                          <a:off x="0" y="0"/>
                          <a:ext cx="3644265" cy="660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0.85pt;margin-top:372.5pt;height:52pt;width:286.95pt;z-index:251666432;v-text-anchor:middle;mso-width-relative:page;mso-height-relative:page;" filled="f" stroked="t" coordsize="21600,21600" o:gfxdata="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SqEon9oAAAALAQAADwAAAAAAAAABACAAAAAiAAAAZHJzL2Rvd25yZXYueG1s&#10;UEsBAhQAFAAAAAgAh07iQC0ZXQVoAgAAzQQAAA4AAAAAAAAAAQAgAAAAKQEAAGRycy9lMm9Eb2Mu&#10;eG1sUEsFBgAAAAAGAAYAWQEAAAMGAAAAAA==&#10;">
                <v:fill on="f" focussize="0,0"/>
                <v:stroke weight="1pt" color="#000000 [3213]" miterlimit="8" joinstyle="miter"/>
                <v:imagedata o:title=""/>
                <o:lock v:ext="edit" aspectratio="f"/>
              </v:rect>
            </w:pict>
          </mc:Fallback>
        </mc:AlternateContent>
      </w:r>
    </w:p>
    <w:p>
      <w:pPr>
        <w:ind w:firstLine="640"/>
      </w:pPr>
    </w:p>
    <w:p>
      <w:pPr>
        <w:ind w:firstLine="640"/>
      </w:pPr>
    </w:p>
    <w:p>
      <w:pPr>
        <w:ind w:firstLine="640"/>
      </w:pPr>
      <w:r>
        <mc:AlternateContent>
          <mc:Choice Requires="wps">
            <w:drawing>
              <wp:anchor distT="0" distB="0" distL="114300" distR="114300" simplePos="0" relativeHeight="251669504" behindDoc="0" locked="0" layoutInCell="1" allowOverlap="1">
                <wp:simplePos x="0" y="0"/>
                <wp:positionH relativeFrom="column">
                  <wp:posOffset>1113790</wp:posOffset>
                </wp:positionH>
                <wp:positionV relativeFrom="paragraph">
                  <wp:posOffset>180340</wp:posOffset>
                </wp:positionV>
                <wp:extent cx="0" cy="349885"/>
                <wp:effectExtent l="76200" t="0" r="76200" b="50165"/>
                <wp:wrapNone/>
                <wp:docPr id="21" name="直接连接符 21"/>
                <wp:cNvGraphicFramePr/>
                <a:graphic xmlns:a="http://schemas.openxmlformats.org/drawingml/2006/main">
                  <a:graphicData uri="http://schemas.microsoft.com/office/word/2010/wordprocessingShape">
                    <wps:wsp>
                      <wps:cNvCnPr/>
                      <wps:spPr>
                        <a:xfrm>
                          <a:off x="0" y="0"/>
                          <a:ext cx="0" cy="34988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_x0000_s1026" o:spid="_x0000_s1026" o:spt="20" style="position:absolute;left:0pt;margin-left:87.7pt;margin-top:14.2pt;height:27.55pt;width:0pt;z-index:251669504;mso-width-relative:page;mso-height-relative:page;" filled="f" stroked="t" coordsize="21600,21600" o:gfxdata="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NtrOi7ZAAAACQEAAA8AAAAAAAAAAQAgAAAAIgAAAGRycy9kb3ducmV2LnhtbFBLAQIU&#10;ABQAAAAIAIdO4kB8Z3ZA8gEAAN0DAAAOAAAAAAAAAAEAIAAAACgBAABkcnMvZTJvRG9jLnhtbFBL&#10;BQYAAAAABgAGAFkBAACMBQAAAAA=&#10;">
                <v:fill on="f" focussize="0,0"/>
                <v:stroke color="#000000" joinstyle="round" endarrow="block"/>
                <v:imagedata o:title=""/>
                <o:lock v:ext="edit" aspectratio="f"/>
              </v:line>
            </w:pict>
          </mc:Fallback>
        </mc:AlternateContent>
      </w:r>
    </w:p>
    <w:p>
      <w:pPr>
        <w:ind w:firstLine="640"/>
      </w:pPr>
      <w:r>
        <w:rPr>
          <w:rFonts w:ascii="仿宋_GB2312"/>
          <w:color w:val="000000"/>
          <w:szCs w:val="32"/>
        </w:rPr>
        <mc:AlternateContent>
          <mc:Choice Requires="wps">
            <w:drawing>
              <wp:anchor distT="0" distB="0" distL="114300" distR="114300" simplePos="0" relativeHeight="251665408" behindDoc="0" locked="0" layoutInCell="1" allowOverlap="1">
                <wp:simplePos x="0" y="0"/>
                <wp:positionH relativeFrom="column">
                  <wp:posOffset>-324485</wp:posOffset>
                </wp:positionH>
                <wp:positionV relativeFrom="paragraph">
                  <wp:posOffset>182880</wp:posOffset>
                </wp:positionV>
                <wp:extent cx="3730625" cy="1024890"/>
                <wp:effectExtent l="0" t="0" r="22225" b="22860"/>
                <wp:wrapNone/>
                <wp:docPr id="1" name="矩形 1"/>
                <wp:cNvGraphicFramePr/>
                <a:graphic xmlns:a="http://schemas.openxmlformats.org/drawingml/2006/main">
                  <a:graphicData uri="http://schemas.microsoft.com/office/word/2010/wordprocessingShape">
                    <wps:wsp>
                      <wps:cNvSpPr/>
                      <wps:spPr>
                        <a:xfrm>
                          <a:off x="0" y="0"/>
                          <a:ext cx="3730625" cy="1024890"/>
                        </a:xfrm>
                        <a:prstGeom prst="rect">
                          <a:avLst/>
                        </a:prstGeom>
                      </wps:spPr>
                      <wps:style>
                        <a:lnRef idx="2">
                          <a:schemeClr val="dk1"/>
                        </a:lnRef>
                        <a:fillRef idx="1001">
                          <a:schemeClr val="lt1"/>
                        </a:fillRef>
                        <a:effectRef idx="0">
                          <a:schemeClr val="dk1"/>
                        </a:effectRef>
                        <a:fontRef idx="minor">
                          <a:schemeClr val="dk1"/>
                        </a:fontRef>
                      </wps:style>
                      <wps:txbx>
                        <w:txbxContent>
                          <w:p>
                            <w:pPr>
                              <w:spacing w:line="240" w:lineRule="atLeast"/>
                              <w:ind w:firstLine="0" w:firstLineChars="0"/>
                              <w:rPr>
                                <w:rFonts w:ascii="仿宋_GB2312" w:cs="Times New Roman"/>
                                <w:sz w:val="24"/>
                              </w:rPr>
                            </w:pPr>
                            <w:r>
                              <w:rPr>
                                <w:rFonts w:hint="eastAsia" w:ascii="仿宋_GB2312" w:cs="Times New Roman"/>
                                <w:sz w:val="24"/>
                              </w:rPr>
                              <w:t>应急指挥部召开成员单位会议，分析研究金融突发事件的基本情况、性质和成因；根据事件发展情况，报请市政府适时启动有关应对大规模群体性突发事件响应处置程序，开展处置工作</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5.55pt;margin-top:14.4pt;height:80.7pt;width:293.75pt;z-index:251665408;v-text-anchor:middle;mso-width-relative:page;mso-height-relative:page;" fillcolor="#FFFFFF [3201]" filled="t" stroked="t" coordsize="21600,21600" o:gfxdata="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">
                <v:fill on="t" focussize="0,0"/>
                <v:stroke weight="1pt" color="#000000 [3200]" miterlimit="8" joinstyle="miter"/>
                <v:imagedata o:title=""/>
                <o:lock v:ext="edit" aspectratio="f"/>
                <v:textbox>
                  <w:txbxContent>
                    <w:p>
                      <w:pPr>
                        <w:spacing w:line="240" w:lineRule="atLeast"/>
                        <w:ind w:firstLine="0" w:firstLineChars="0"/>
                        <w:rPr>
                          <w:rFonts w:ascii="仿宋_GB2312" w:cs="Times New Roman"/>
                          <w:sz w:val="24"/>
                        </w:rPr>
                      </w:pPr>
                      <w:r>
                        <w:rPr>
                          <w:rFonts w:hint="eastAsia" w:ascii="仿宋_GB2312" w:cs="Times New Roman"/>
                          <w:sz w:val="24"/>
                        </w:rPr>
                        <w:t>应急指挥部召开成员单位会议，分析研究金融突发事件的基本情况、性质和成因；根据事件发展情况，报请市政府适时启动有关应对大规模群体性突发事件响应处置程序，开展处置工作</w:t>
                      </w:r>
                    </w:p>
                  </w:txbxContent>
                </v:textbox>
              </v:rect>
            </w:pict>
          </mc:Fallback>
        </mc:AlternateContent>
      </w:r>
    </w:p>
    <w:p>
      <w:pPr>
        <w:ind w:firstLine="640"/>
      </w:pPr>
    </w:p>
    <w:p>
      <w:pPr>
        <w:ind w:firstLine="640"/>
        <w:rPr>
          <w:rFonts w:hint="eastAsia"/>
        </w:rPr>
      </w:pPr>
      <w:r>
        <w:tab/>
      </w:r>
    </w:p>
    <w:p>
      <w:pPr>
        <w:ind w:firstLine="640"/>
      </w:pPr>
      <w:r>
        <mc:AlternateContent>
          <mc:Choice Requires="wps">
            <w:drawing>
              <wp:anchor distT="0" distB="0" distL="114300" distR="114300" simplePos="0" relativeHeight="251671552" behindDoc="0" locked="0" layoutInCell="1" allowOverlap="1">
                <wp:simplePos x="0" y="0"/>
                <wp:positionH relativeFrom="column">
                  <wp:posOffset>1199515</wp:posOffset>
                </wp:positionH>
                <wp:positionV relativeFrom="paragraph">
                  <wp:posOffset>133985</wp:posOffset>
                </wp:positionV>
                <wp:extent cx="0" cy="349885"/>
                <wp:effectExtent l="76200" t="0" r="76200" b="50165"/>
                <wp:wrapNone/>
                <wp:docPr id="23" name="直接连接符 23"/>
                <wp:cNvGraphicFramePr/>
                <a:graphic xmlns:a="http://schemas.openxmlformats.org/drawingml/2006/main">
                  <a:graphicData uri="http://schemas.microsoft.com/office/word/2010/wordprocessingShape">
                    <wps:wsp>
                      <wps:cNvCnPr/>
                      <wps:spPr>
                        <a:xfrm>
                          <a:off x="0" y="0"/>
                          <a:ext cx="0" cy="34988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_x0000_s1026" o:spid="_x0000_s1026" o:spt="20" style="position:absolute;left:0pt;margin-left:94.45pt;margin-top:10.55pt;height:27.55pt;width:0pt;z-index:251671552;mso-width-relative:page;mso-height-relative:page;" filled="f" stroked="t" coordsize="21600,21600" o:gfxdata="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T2HXR1wAAAAkBAAAPAAAAAAAAAAEAIAAAACIAAABkcnMvZG93bnJldi54bWxQSwECFAAU&#10;AAAACACHTuJAQxqmifIBAADdAwAADgAAAAAAAAABACAAAAAmAQAAZHJzL2Uyb0RvYy54bWxQSwUG&#10;AAAAAAYABgBZAQAAigUAAAAA&#10;">
                <v:fill on="f" focussize="0,0"/>
                <v:stroke color="#000000" joinstyle="round" endarrow="block"/>
                <v:imagedata o:title=""/>
                <o:lock v:ext="edit" aspectratio="f"/>
              </v:line>
            </w:pict>
          </mc:Fallback>
        </mc:AlternateContent>
      </w:r>
    </w:p>
    <w:p>
      <w:pPr>
        <w:ind w:firstLine="640"/>
      </w:pPr>
      <w:r>
        <w:rPr>
          <w:rFonts w:hint="eastAsia" w:ascii="仿宋_GB2312"/>
          <w:color w:val="000000"/>
          <w:szCs w:val="32"/>
        </w:rPr>
        <mc:AlternateContent>
          <mc:Choice Requires="wps">
            <w:drawing>
              <wp:anchor distT="0" distB="0" distL="114300" distR="114300" simplePos="0" relativeHeight="251660288" behindDoc="0" locked="0" layoutInCell="1" allowOverlap="1">
                <wp:simplePos x="0" y="0"/>
                <wp:positionH relativeFrom="column">
                  <wp:posOffset>-481330</wp:posOffset>
                </wp:positionH>
                <wp:positionV relativeFrom="paragraph">
                  <wp:posOffset>116840</wp:posOffset>
                </wp:positionV>
                <wp:extent cx="3751580" cy="1583055"/>
                <wp:effectExtent l="0" t="0" r="20320" b="17145"/>
                <wp:wrapNone/>
                <wp:docPr id="40" name="椭圆 40"/>
                <wp:cNvGraphicFramePr/>
                <a:graphic xmlns:a="http://schemas.openxmlformats.org/drawingml/2006/main">
                  <a:graphicData uri="http://schemas.microsoft.com/office/word/2010/wordprocessingShape">
                    <wps:wsp>
                      <wps:cNvSpPr/>
                      <wps:spPr>
                        <a:xfrm>
                          <a:off x="0" y="0"/>
                          <a:ext cx="3751580" cy="1583055"/>
                        </a:xfrm>
                        <a:prstGeom prst="ellipse">
                          <a:avLst/>
                        </a:prstGeom>
                        <a:solidFill>
                          <a:srgbClr val="FFFFFF"/>
                        </a:solidFill>
                        <a:ln w="9525" cap="flat" cmpd="sng">
                          <a:solidFill>
                            <a:srgbClr val="000000"/>
                          </a:solidFill>
                          <a:prstDash val="solid"/>
                          <a:headEnd type="none" w="med" len="med"/>
                          <a:tailEnd type="none" w="med" len="med"/>
                        </a:ln>
                      </wps:spPr>
                      <wps:txbx>
                        <w:txbxContent>
                          <w:p>
                            <w:pPr>
                              <w:ind w:firstLine="0" w:firstLineChars="0"/>
                              <w:rPr>
                                <w:rFonts w:ascii="仿宋_GB2312" w:hAnsi="宋体" w:cs="宋体"/>
                                <w:color w:val="000000"/>
                                <w:kern w:val="0"/>
                                <w:sz w:val="24"/>
                              </w:rPr>
                            </w:pPr>
                            <w:r>
                              <w:rPr>
                                <w:rFonts w:hint="eastAsia" w:ascii="仿宋_GB2312" w:hAnsi="宋体" w:cs="宋体"/>
                                <w:color w:val="000000"/>
                                <w:kern w:val="0"/>
                                <w:sz w:val="24"/>
                              </w:rPr>
                              <w:t>处置方案经市政府批准后相关部门负责落实，</w:t>
                            </w:r>
                            <w:r>
                              <w:rPr>
                                <w:rFonts w:hint="eastAsia" w:ascii="仿宋_GB2312"/>
                                <w:sz w:val="24"/>
                              </w:rPr>
                              <w:t>应急处置指挥部</w:t>
                            </w:r>
                            <w:r>
                              <w:rPr>
                                <w:rFonts w:hint="eastAsia" w:ascii="仿宋_GB2312" w:hAnsi="宋体" w:cs="宋体"/>
                                <w:color w:val="000000"/>
                                <w:kern w:val="0"/>
                                <w:sz w:val="24"/>
                              </w:rPr>
                              <w:t>办公室负责督促、检查和落实情况。</w:t>
                            </w:r>
                          </w:p>
                        </w:txbxContent>
                      </wps:txbx>
                      <wps:bodyPr upright="1">
                        <a:noAutofit/>
                      </wps:bodyPr>
                    </wps:wsp>
                  </a:graphicData>
                </a:graphic>
              </wp:anchor>
            </w:drawing>
          </mc:Choice>
          <mc:Fallback>
            <w:pict>
              <v:shape id="_x0000_s1026" o:spid="_x0000_s1026" o:spt="3" type="#_x0000_t3" style="position:absolute;left:0pt;margin-left:-37.9pt;margin-top:9.2pt;height:124.65pt;width:295.4pt;z-index:251660288;mso-width-relative:page;mso-height-relative:page;" fillcolor="#FFFFFF" filled="t" stroked="t" coordsize="21600,21600" o:gfxdata="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HuQ+ZdkAAAAKAQAADwAAAAAAAAABACAAAAAi&#10;AAAAZHJzL2Rvd25yZXYueG1sUEsBAhQAFAAAAAgAh07iQHTXc34JAgAAPwQAAA4AAAAAAAAAAQAg&#10;AAAAKAEAAGRycy9lMm9Eb2MueG1sUEsFBgAAAAAGAAYAWQEAAKMFAAAAAA==&#10;">
                <v:fill on="t" focussize="0,0"/>
                <v:stroke color="#000000" joinstyle="round"/>
                <v:imagedata o:title=""/>
                <o:lock v:ext="edit" aspectratio="f"/>
                <v:textbox>
                  <w:txbxContent>
                    <w:p>
                      <w:pPr>
                        <w:ind w:firstLine="0" w:firstLineChars="0"/>
                        <w:rPr>
                          <w:rFonts w:ascii="仿宋_GB2312" w:hAnsi="宋体" w:cs="宋体"/>
                          <w:color w:val="000000"/>
                          <w:kern w:val="0"/>
                          <w:sz w:val="24"/>
                        </w:rPr>
                      </w:pPr>
                      <w:r>
                        <w:rPr>
                          <w:rFonts w:hint="eastAsia" w:ascii="仿宋_GB2312" w:hAnsi="宋体" w:cs="宋体"/>
                          <w:color w:val="000000"/>
                          <w:kern w:val="0"/>
                          <w:sz w:val="24"/>
                        </w:rPr>
                        <w:t>处置方案经市政府批准后相关部门负责落实，</w:t>
                      </w:r>
                      <w:r>
                        <w:rPr>
                          <w:rFonts w:hint="eastAsia" w:ascii="仿宋_GB2312"/>
                          <w:sz w:val="24"/>
                        </w:rPr>
                        <w:t>应急处置指挥部</w:t>
                      </w:r>
                      <w:r>
                        <w:rPr>
                          <w:rFonts w:hint="eastAsia" w:ascii="仿宋_GB2312" w:hAnsi="宋体" w:cs="宋体"/>
                          <w:color w:val="000000"/>
                          <w:kern w:val="0"/>
                          <w:sz w:val="24"/>
                        </w:rPr>
                        <w:t>办公室负责督促、检查和落实情况。</w:t>
                      </w:r>
                    </w:p>
                  </w:txbxContent>
                </v:textbox>
              </v:shape>
            </w:pict>
          </mc:Fallback>
        </mc:AlternateContent>
      </w:r>
    </w:p>
    <w:p>
      <w:pPr>
        <w:ind w:firstLine="640"/>
      </w:pPr>
    </w:p>
    <w:p>
      <w:pPr>
        <w:ind w:firstLine="640"/>
      </w:pPr>
    </w:p>
    <w:p>
      <w:pPr>
        <w:ind w:firstLine="640"/>
      </w:pPr>
    </w:p>
    <w:p>
      <w:pPr>
        <w:ind w:firstLine="640"/>
      </w:pPr>
      <w:r>
        <mc:AlternateContent>
          <mc:Choice Requires="wps">
            <w:drawing>
              <wp:anchor distT="0" distB="0" distL="114300" distR="114300" simplePos="0" relativeHeight="251670528" behindDoc="0" locked="0" layoutInCell="1" allowOverlap="1">
                <wp:simplePos x="0" y="0"/>
                <wp:positionH relativeFrom="column">
                  <wp:posOffset>1197610</wp:posOffset>
                </wp:positionH>
                <wp:positionV relativeFrom="paragraph">
                  <wp:posOffset>264795</wp:posOffset>
                </wp:positionV>
                <wp:extent cx="1905" cy="214630"/>
                <wp:effectExtent l="36830" t="0" r="37465" b="13970"/>
                <wp:wrapNone/>
                <wp:docPr id="22" name="直接连接符 22"/>
                <wp:cNvGraphicFramePr/>
                <a:graphic xmlns:a="http://schemas.openxmlformats.org/drawingml/2006/main">
                  <a:graphicData uri="http://schemas.microsoft.com/office/word/2010/wordprocessingShape">
                    <wps:wsp>
                      <wps:cNvCnPr/>
                      <wps:spPr>
                        <a:xfrm>
                          <a:off x="0" y="0"/>
                          <a:ext cx="1905" cy="21463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_x0000_s1026" o:spid="_x0000_s1026" o:spt="20" style="position:absolute;left:0pt;margin-left:94.3pt;margin-top:20.85pt;height:16.9pt;width:0.15pt;z-index:251670528;mso-width-relative:page;mso-height-relative:page;" filled="f" stroked="t" coordsize="21600,21600" o:gfxdata="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fhRo62gAAAAkBAAAPAAAAAAAAAAEAIAAAACIAAABkcnMvZG93bnJldi54&#10;bWxQSwECFAAUAAAACACHTuJAH1+Nf/gBAADgAwAADgAAAAAAAAABACAAAAApAQAAZHJzL2Uyb0Rv&#10;Yy54bWxQSwUGAAAAAAYABgBZAQAAkwUAAAAA&#10;">
                <v:fill on="f" focussize="0,0"/>
                <v:stroke color="#000000" joinstyle="round" endarrow="block"/>
                <v:imagedata o:title=""/>
                <o:lock v:ext="edit" aspectratio="f"/>
              </v:line>
            </w:pict>
          </mc:Fallback>
        </mc:AlternateContent>
      </w:r>
    </w:p>
    <w:p>
      <w:pPr>
        <w:ind w:firstLine="0" w:firstLineChars="0"/>
        <w:rPr>
          <w:rFonts w:ascii="仿宋_GB2312" w:hAnsi="宋体" w:cs="宋体"/>
          <w:color w:val="000000"/>
          <w:kern w:val="0"/>
          <w:sz w:val="24"/>
        </w:rPr>
      </w:pPr>
      <w:r>
        <w:rPr>
          <w:rFonts w:hint="eastAsia" w:ascii="仿宋_GB2312" w:hAnsi="宋体" w:cs="宋体"/>
          <w:color w:val="000000"/>
          <w:kern w:val="0"/>
          <w:sz w:val="24"/>
        </w:rPr>
        <w:t xml:space="preserve">在处置金融突发事件过程中，对发现涉嫌犯罪  </w:t>
      </w:r>
    </w:p>
    <w:p>
      <w:pPr>
        <w:ind w:firstLine="0" w:firstLineChars="0"/>
        <w:rPr>
          <w:rFonts w:ascii="仿宋_GB2312" w:hAnsi="宋体" w:cs="宋体"/>
          <w:color w:val="000000"/>
          <w:kern w:val="0"/>
          <w:sz w:val="24"/>
        </w:rPr>
      </w:pPr>
      <w:r>
        <w:rPr>
          <w:rFonts w:hint="eastAsia" w:ascii="仿宋_GB2312" w:hAnsi="宋体" w:cs="宋体"/>
          <w:color w:val="000000"/>
          <w:kern w:val="0"/>
          <w:sz w:val="24"/>
        </w:rPr>
        <w:t>的事实，公安机关应依法立案侦查</w:t>
      </w:r>
    </w:p>
    <w:bookmarkEnd w:id="2110"/>
    <w:sectPr>
      <w:footerReference r:id="rId11" w:type="default"/>
      <w:pgSz w:w="11906" w:h="16838"/>
      <w:pgMar w:top="1440" w:right="1466" w:bottom="1440" w:left="1480" w:header="851" w:footer="992" w:gutter="0"/>
      <w:pgNumType w:fmt="numberInDash" w:start="1"/>
      <w:cols w:space="425" w:num="1"/>
      <w:docGrid w:type="lines" w:linePitch="312" w:charSpace="0"/>
    </w:sectPr>
  </w:body>
</w:document>
</file>

<file path=word/customizations.xml><?xml version="1.0" encoding="utf-8"?>
<wne:tcg xmlns:r="http://schemas.openxmlformats.org/officeDocument/2006/relationships" xmlns:wne="http://schemas.microsoft.com/office/word/2006/wordml">
  <wne:keymaps>
    <wne:keymap wne:kcmPrimary="065A">
      <wne:acd wne:acdName="acd0"/>
    </wne:keymap>
  </wne:keymaps>
  <wne:acds>
    <wne:acd wne:argValue="AQAAAAAA" wne:acdName="acd0"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r>
      <mc:AlternateContent>
        <mc:Choice Requires="wps">
          <w:drawing>
            <wp:anchor distT="0" distB="0" distL="114300" distR="114300" simplePos="0" relativeHeight="251675648"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ind w:firstLine="560"/>
                            <w:rPr>
                              <w:rFonts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- 27 -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564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q/o+UsAgAAV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yr+j5SwCAABVBAAADgAAAAAAAAABACAAAAAfAQAAZHJzL2Uyb0RvYy54bWxQSwUGAAAAAAYA&#10;BgBZAQAAvQUAAAAA&#10;">
              <v:fill on="f" focussize="0,0"/>
              <v:stroke on="f" weight="0.5pt"/>
              <v:imagedata o:title=""/>
              <o:lock v:ext="edit" aspectratio="f"/>
              <v:textbox inset="0mm,0mm,0mm,0mm" style="mso-fit-shape-to-text:t;">
                <w:txbxContent>
                  <w:p>
                    <w:pPr>
                      <w:pStyle w:val="11"/>
                      <w:ind w:firstLine="560"/>
                      <w:rPr>
                        <w:rFonts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- 27 -</w:t>
                    </w:r>
                    <w:r>
                      <w:rPr>
                        <w:rFonts w:hint="eastAsia" w:ascii="宋体" w:hAnsi="宋体" w:eastAsia="宋体" w:cs="宋体"/>
                        <w:sz w:val="28"/>
                        <w:szCs w:val="28"/>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A121C36"/>
    <w:multiLevelType w:val="singleLevel"/>
    <w:tmpl w:val="9A121C36"/>
    <w:lvl w:ilvl="0" w:tentative="0">
      <w:start w:val="5"/>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15EB5"/>
    <w:rsid w:val="000901CB"/>
    <w:rsid w:val="000C05F9"/>
    <w:rsid w:val="000D3C98"/>
    <w:rsid w:val="00172A27"/>
    <w:rsid w:val="0019241B"/>
    <w:rsid w:val="001E20D0"/>
    <w:rsid w:val="002D0B0A"/>
    <w:rsid w:val="004B68EF"/>
    <w:rsid w:val="004D153F"/>
    <w:rsid w:val="00570923"/>
    <w:rsid w:val="005A68F1"/>
    <w:rsid w:val="006436C6"/>
    <w:rsid w:val="0072246F"/>
    <w:rsid w:val="00786D49"/>
    <w:rsid w:val="00804D36"/>
    <w:rsid w:val="008927B6"/>
    <w:rsid w:val="00961910"/>
    <w:rsid w:val="009F34D6"/>
    <w:rsid w:val="00A63095"/>
    <w:rsid w:val="00DC0483"/>
    <w:rsid w:val="00E24C73"/>
    <w:rsid w:val="00E80FBE"/>
    <w:rsid w:val="00EB0C5E"/>
    <w:rsid w:val="00FB1D01"/>
    <w:rsid w:val="011E4A73"/>
    <w:rsid w:val="0159621E"/>
    <w:rsid w:val="01736CBC"/>
    <w:rsid w:val="017C3FCE"/>
    <w:rsid w:val="0185367E"/>
    <w:rsid w:val="01A4537D"/>
    <w:rsid w:val="01F61045"/>
    <w:rsid w:val="023277D5"/>
    <w:rsid w:val="02386BC4"/>
    <w:rsid w:val="023C5245"/>
    <w:rsid w:val="0259473F"/>
    <w:rsid w:val="026751C4"/>
    <w:rsid w:val="02822F78"/>
    <w:rsid w:val="03166343"/>
    <w:rsid w:val="03542E42"/>
    <w:rsid w:val="03575E47"/>
    <w:rsid w:val="035F6D38"/>
    <w:rsid w:val="03854220"/>
    <w:rsid w:val="03DB7834"/>
    <w:rsid w:val="03EC1CB7"/>
    <w:rsid w:val="03F64C86"/>
    <w:rsid w:val="0407353A"/>
    <w:rsid w:val="041F3AAC"/>
    <w:rsid w:val="04816927"/>
    <w:rsid w:val="05B13E0B"/>
    <w:rsid w:val="060558BD"/>
    <w:rsid w:val="06F02903"/>
    <w:rsid w:val="073529B8"/>
    <w:rsid w:val="075246A6"/>
    <w:rsid w:val="07667AB8"/>
    <w:rsid w:val="07B85C18"/>
    <w:rsid w:val="07C4287A"/>
    <w:rsid w:val="07E061FD"/>
    <w:rsid w:val="086E21A2"/>
    <w:rsid w:val="08AE15AA"/>
    <w:rsid w:val="08D03773"/>
    <w:rsid w:val="08EA6FC2"/>
    <w:rsid w:val="09191F70"/>
    <w:rsid w:val="09193B11"/>
    <w:rsid w:val="093323BB"/>
    <w:rsid w:val="09A73434"/>
    <w:rsid w:val="09C26D2B"/>
    <w:rsid w:val="09E6213C"/>
    <w:rsid w:val="09EC69C7"/>
    <w:rsid w:val="0A557CB2"/>
    <w:rsid w:val="0AA74082"/>
    <w:rsid w:val="0ACC2863"/>
    <w:rsid w:val="0B1F669C"/>
    <w:rsid w:val="0B2152CA"/>
    <w:rsid w:val="0B232AED"/>
    <w:rsid w:val="0B5F739C"/>
    <w:rsid w:val="0B635AE6"/>
    <w:rsid w:val="0B723872"/>
    <w:rsid w:val="0B7F5FE8"/>
    <w:rsid w:val="0B93041C"/>
    <w:rsid w:val="0BB04534"/>
    <w:rsid w:val="0BCB19A5"/>
    <w:rsid w:val="0BDE1A08"/>
    <w:rsid w:val="0C09521C"/>
    <w:rsid w:val="0C502615"/>
    <w:rsid w:val="0C5B502E"/>
    <w:rsid w:val="0CA2138E"/>
    <w:rsid w:val="0CA94133"/>
    <w:rsid w:val="0CB35794"/>
    <w:rsid w:val="0CF10954"/>
    <w:rsid w:val="0D094AF1"/>
    <w:rsid w:val="0D0F105E"/>
    <w:rsid w:val="0D2E1547"/>
    <w:rsid w:val="0D416E07"/>
    <w:rsid w:val="0D703775"/>
    <w:rsid w:val="0D8F150F"/>
    <w:rsid w:val="0DB67D81"/>
    <w:rsid w:val="0DB7573B"/>
    <w:rsid w:val="0DD566D6"/>
    <w:rsid w:val="0DDA71DB"/>
    <w:rsid w:val="0E281926"/>
    <w:rsid w:val="0E295DD4"/>
    <w:rsid w:val="0E6E08C8"/>
    <w:rsid w:val="0F0C305E"/>
    <w:rsid w:val="0F9234DE"/>
    <w:rsid w:val="0FDE52BB"/>
    <w:rsid w:val="0FF74010"/>
    <w:rsid w:val="10767B41"/>
    <w:rsid w:val="10C66937"/>
    <w:rsid w:val="10E51703"/>
    <w:rsid w:val="10FA4B78"/>
    <w:rsid w:val="11207F75"/>
    <w:rsid w:val="116C3135"/>
    <w:rsid w:val="11DF4513"/>
    <w:rsid w:val="11E26E39"/>
    <w:rsid w:val="12226171"/>
    <w:rsid w:val="123947A0"/>
    <w:rsid w:val="12595731"/>
    <w:rsid w:val="12A566C2"/>
    <w:rsid w:val="12BE1551"/>
    <w:rsid w:val="12EC5F1B"/>
    <w:rsid w:val="12ED5CA6"/>
    <w:rsid w:val="130F31B0"/>
    <w:rsid w:val="131007D2"/>
    <w:rsid w:val="131D64B6"/>
    <w:rsid w:val="1371308B"/>
    <w:rsid w:val="139C6795"/>
    <w:rsid w:val="13AF2D93"/>
    <w:rsid w:val="13EA44B6"/>
    <w:rsid w:val="13FD7DAF"/>
    <w:rsid w:val="140B6918"/>
    <w:rsid w:val="14312D50"/>
    <w:rsid w:val="145C4411"/>
    <w:rsid w:val="145D5D9A"/>
    <w:rsid w:val="14745254"/>
    <w:rsid w:val="15220F13"/>
    <w:rsid w:val="154558F1"/>
    <w:rsid w:val="15AC7612"/>
    <w:rsid w:val="15C64F5D"/>
    <w:rsid w:val="15DD6812"/>
    <w:rsid w:val="168A78BD"/>
    <w:rsid w:val="17A24DF3"/>
    <w:rsid w:val="17CA1D89"/>
    <w:rsid w:val="18025757"/>
    <w:rsid w:val="185237BD"/>
    <w:rsid w:val="18B2435B"/>
    <w:rsid w:val="18C76F6A"/>
    <w:rsid w:val="18D80AFE"/>
    <w:rsid w:val="190E50F8"/>
    <w:rsid w:val="19241462"/>
    <w:rsid w:val="19417803"/>
    <w:rsid w:val="1962644A"/>
    <w:rsid w:val="19A25884"/>
    <w:rsid w:val="19CF6CD3"/>
    <w:rsid w:val="19E617AE"/>
    <w:rsid w:val="1A342333"/>
    <w:rsid w:val="1A421BDA"/>
    <w:rsid w:val="1A501609"/>
    <w:rsid w:val="1A601EA6"/>
    <w:rsid w:val="1A9E4477"/>
    <w:rsid w:val="1AAC5933"/>
    <w:rsid w:val="1AC53C6F"/>
    <w:rsid w:val="1AD04189"/>
    <w:rsid w:val="1AD6342A"/>
    <w:rsid w:val="1AFD0215"/>
    <w:rsid w:val="1B0D7B87"/>
    <w:rsid w:val="1B9266BD"/>
    <w:rsid w:val="1BA31F96"/>
    <w:rsid w:val="1BE37535"/>
    <w:rsid w:val="1C2B665F"/>
    <w:rsid w:val="1C61063F"/>
    <w:rsid w:val="1C6F64C9"/>
    <w:rsid w:val="1C74035E"/>
    <w:rsid w:val="1D0D1B89"/>
    <w:rsid w:val="1D2655FC"/>
    <w:rsid w:val="1E0A2103"/>
    <w:rsid w:val="1E1F6270"/>
    <w:rsid w:val="1E382D97"/>
    <w:rsid w:val="1E5B12EC"/>
    <w:rsid w:val="1E63062F"/>
    <w:rsid w:val="1E86248F"/>
    <w:rsid w:val="1E9828EE"/>
    <w:rsid w:val="1EE54D15"/>
    <w:rsid w:val="1F4F2A11"/>
    <w:rsid w:val="1F531827"/>
    <w:rsid w:val="1FF62C91"/>
    <w:rsid w:val="1FFD0360"/>
    <w:rsid w:val="20097D40"/>
    <w:rsid w:val="202B2ED2"/>
    <w:rsid w:val="20366218"/>
    <w:rsid w:val="205178B0"/>
    <w:rsid w:val="20E629C8"/>
    <w:rsid w:val="213B152F"/>
    <w:rsid w:val="21B737B9"/>
    <w:rsid w:val="21DC55F9"/>
    <w:rsid w:val="22831C29"/>
    <w:rsid w:val="22D532FE"/>
    <w:rsid w:val="23BA7A46"/>
    <w:rsid w:val="23BE6104"/>
    <w:rsid w:val="24030E94"/>
    <w:rsid w:val="24065B79"/>
    <w:rsid w:val="241A4919"/>
    <w:rsid w:val="24290615"/>
    <w:rsid w:val="247A268F"/>
    <w:rsid w:val="247D2C6E"/>
    <w:rsid w:val="24AD2F98"/>
    <w:rsid w:val="24D11CDD"/>
    <w:rsid w:val="24FC013E"/>
    <w:rsid w:val="255029EB"/>
    <w:rsid w:val="255E39E5"/>
    <w:rsid w:val="258C1E81"/>
    <w:rsid w:val="25901E42"/>
    <w:rsid w:val="26203FAF"/>
    <w:rsid w:val="263A656A"/>
    <w:rsid w:val="264D617D"/>
    <w:rsid w:val="26EA2931"/>
    <w:rsid w:val="27983944"/>
    <w:rsid w:val="280A5A4A"/>
    <w:rsid w:val="285602F4"/>
    <w:rsid w:val="28884840"/>
    <w:rsid w:val="28BD7D96"/>
    <w:rsid w:val="28DE3131"/>
    <w:rsid w:val="291C38CE"/>
    <w:rsid w:val="29586135"/>
    <w:rsid w:val="2997045F"/>
    <w:rsid w:val="299C2EA2"/>
    <w:rsid w:val="29A075BB"/>
    <w:rsid w:val="2A4C5699"/>
    <w:rsid w:val="2A6B5470"/>
    <w:rsid w:val="2A74445C"/>
    <w:rsid w:val="2ABC0147"/>
    <w:rsid w:val="2ABC222C"/>
    <w:rsid w:val="2B1C6623"/>
    <w:rsid w:val="2B68096B"/>
    <w:rsid w:val="2B7C0168"/>
    <w:rsid w:val="2BC3616A"/>
    <w:rsid w:val="2BEC00AB"/>
    <w:rsid w:val="2C626F35"/>
    <w:rsid w:val="2C6A3AE0"/>
    <w:rsid w:val="2C6E7AA0"/>
    <w:rsid w:val="2CBE1ED0"/>
    <w:rsid w:val="2CBE3877"/>
    <w:rsid w:val="2D2B45FF"/>
    <w:rsid w:val="2DCE395B"/>
    <w:rsid w:val="2DE862F4"/>
    <w:rsid w:val="2DFC35C9"/>
    <w:rsid w:val="2E03339D"/>
    <w:rsid w:val="2E2B0372"/>
    <w:rsid w:val="2E455282"/>
    <w:rsid w:val="2E932CBF"/>
    <w:rsid w:val="2EEA01FD"/>
    <w:rsid w:val="2F081CF5"/>
    <w:rsid w:val="2F275D0F"/>
    <w:rsid w:val="2F4D0EE4"/>
    <w:rsid w:val="2F5F645C"/>
    <w:rsid w:val="2F6150D9"/>
    <w:rsid w:val="2F9921DC"/>
    <w:rsid w:val="2FE734CA"/>
    <w:rsid w:val="30110D1A"/>
    <w:rsid w:val="302874BB"/>
    <w:rsid w:val="303E369F"/>
    <w:rsid w:val="30A571B4"/>
    <w:rsid w:val="30AD4398"/>
    <w:rsid w:val="30C63B65"/>
    <w:rsid w:val="31322522"/>
    <w:rsid w:val="31886586"/>
    <w:rsid w:val="31A70BB5"/>
    <w:rsid w:val="31AB062E"/>
    <w:rsid w:val="325D130B"/>
    <w:rsid w:val="32816F3F"/>
    <w:rsid w:val="32971727"/>
    <w:rsid w:val="32B171CE"/>
    <w:rsid w:val="32D11D8D"/>
    <w:rsid w:val="32D24DF0"/>
    <w:rsid w:val="32E34046"/>
    <w:rsid w:val="32FD0E5D"/>
    <w:rsid w:val="331E6D48"/>
    <w:rsid w:val="332855FD"/>
    <w:rsid w:val="333B2650"/>
    <w:rsid w:val="337D2C74"/>
    <w:rsid w:val="337D3F99"/>
    <w:rsid w:val="338169DC"/>
    <w:rsid w:val="341C1CF7"/>
    <w:rsid w:val="34993CA3"/>
    <w:rsid w:val="353651A9"/>
    <w:rsid w:val="357F3DDA"/>
    <w:rsid w:val="359C2E13"/>
    <w:rsid w:val="359D4FE6"/>
    <w:rsid w:val="35BD5F45"/>
    <w:rsid w:val="35FF5BFB"/>
    <w:rsid w:val="36467DA1"/>
    <w:rsid w:val="36585223"/>
    <w:rsid w:val="3691317A"/>
    <w:rsid w:val="36A74F4B"/>
    <w:rsid w:val="370A1429"/>
    <w:rsid w:val="37511937"/>
    <w:rsid w:val="37892DBE"/>
    <w:rsid w:val="378A1398"/>
    <w:rsid w:val="37B91990"/>
    <w:rsid w:val="37E76924"/>
    <w:rsid w:val="37F111D2"/>
    <w:rsid w:val="37F86150"/>
    <w:rsid w:val="38306D5E"/>
    <w:rsid w:val="38337624"/>
    <w:rsid w:val="38610ADB"/>
    <w:rsid w:val="389121BF"/>
    <w:rsid w:val="38C27133"/>
    <w:rsid w:val="39752DB0"/>
    <w:rsid w:val="3997483C"/>
    <w:rsid w:val="3A023BE2"/>
    <w:rsid w:val="3A074AD7"/>
    <w:rsid w:val="3A601FB2"/>
    <w:rsid w:val="3A816E9A"/>
    <w:rsid w:val="3AAD7BF2"/>
    <w:rsid w:val="3ACB17D6"/>
    <w:rsid w:val="3AFA1256"/>
    <w:rsid w:val="3B1568DE"/>
    <w:rsid w:val="3B54729C"/>
    <w:rsid w:val="3B574DBB"/>
    <w:rsid w:val="3C6F70A9"/>
    <w:rsid w:val="3C9A6B41"/>
    <w:rsid w:val="3CA5554A"/>
    <w:rsid w:val="3CDE083A"/>
    <w:rsid w:val="3D31620C"/>
    <w:rsid w:val="3D7D6E9C"/>
    <w:rsid w:val="3DDA211F"/>
    <w:rsid w:val="3E2C7264"/>
    <w:rsid w:val="3E403A47"/>
    <w:rsid w:val="3E4F2FA3"/>
    <w:rsid w:val="3E5665DC"/>
    <w:rsid w:val="3E5B041B"/>
    <w:rsid w:val="3E8E1F97"/>
    <w:rsid w:val="3E9A6025"/>
    <w:rsid w:val="3EA95B9B"/>
    <w:rsid w:val="3EDF12B2"/>
    <w:rsid w:val="3EE23847"/>
    <w:rsid w:val="3EFD36CC"/>
    <w:rsid w:val="3F0C314F"/>
    <w:rsid w:val="3F1B60D8"/>
    <w:rsid w:val="3F813E4B"/>
    <w:rsid w:val="3F9A3CA2"/>
    <w:rsid w:val="402C1F60"/>
    <w:rsid w:val="40320121"/>
    <w:rsid w:val="40A13EA3"/>
    <w:rsid w:val="41052FD1"/>
    <w:rsid w:val="41240A3C"/>
    <w:rsid w:val="4199708F"/>
    <w:rsid w:val="421D7DA6"/>
    <w:rsid w:val="423B6806"/>
    <w:rsid w:val="4247020A"/>
    <w:rsid w:val="43177D2E"/>
    <w:rsid w:val="435D6413"/>
    <w:rsid w:val="436679AC"/>
    <w:rsid w:val="438D43A4"/>
    <w:rsid w:val="43AA7249"/>
    <w:rsid w:val="43F53A10"/>
    <w:rsid w:val="4414790E"/>
    <w:rsid w:val="44261230"/>
    <w:rsid w:val="446674B2"/>
    <w:rsid w:val="446D46E8"/>
    <w:rsid w:val="44845BDD"/>
    <w:rsid w:val="44A748F5"/>
    <w:rsid w:val="44BD4686"/>
    <w:rsid w:val="45520690"/>
    <w:rsid w:val="4581670E"/>
    <w:rsid w:val="45AA60EF"/>
    <w:rsid w:val="45DB7840"/>
    <w:rsid w:val="45F07E65"/>
    <w:rsid w:val="462A37C0"/>
    <w:rsid w:val="463E5338"/>
    <w:rsid w:val="468D4DCE"/>
    <w:rsid w:val="469B1586"/>
    <w:rsid w:val="46E522A5"/>
    <w:rsid w:val="46F56E48"/>
    <w:rsid w:val="47167CC0"/>
    <w:rsid w:val="473E59C6"/>
    <w:rsid w:val="474A6554"/>
    <w:rsid w:val="47773522"/>
    <w:rsid w:val="47B3304B"/>
    <w:rsid w:val="47B46C93"/>
    <w:rsid w:val="47E452DE"/>
    <w:rsid w:val="482E3D9F"/>
    <w:rsid w:val="483C3C50"/>
    <w:rsid w:val="48B67FE2"/>
    <w:rsid w:val="48C84C6E"/>
    <w:rsid w:val="48CC06C8"/>
    <w:rsid w:val="491355D7"/>
    <w:rsid w:val="49AA50E4"/>
    <w:rsid w:val="49D837FC"/>
    <w:rsid w:val="49E30E7F"/>
    <w:rsid w:val="4A2D608A"/>
    <w:rsid w:val="4A385154"/>
    <w:rsid w:val="4AD45C5E"/>
    <w:rsid w:val="4AFB3D31"/>
    <w:rsid w:val="4BB23D69"/>
    <w:rsid w:val="4BED2D40"/>
    <w:rsid w:val="4C843F3E"/>
    <w:rsid w:val="4C8732FC"/>
    <w:rsid w:val="4CEA1996"/>
    <w:rsid w:val="4D91072E"/>
    <w:rsid w:val="4DCE5B2F"/>
    <w:rsid w:val="4E3C78BA"/>
    <w:rsid w:val="4E602B94"/>
    <w:rsid w:val="4E6208C0"/>
    <w:rsid w:val="4E7436B8"/>
    <w:rsid w:val="4EB46CAE"/>
    <w:rsid w:val="4EC57DEF"/>
    <w:rsid w:val="4EC659DB"/>
    <w:rsid w:val="4F1569E3"/>
    <w:rsid w:val="4F446002"/>
    <w:rsid w:val="4F731540"/>
    <w:rsid w:val="4F7664AD"/>
    <w:rsid w:val="4FD43C8C"/>
    <w:rsid w:val="50754576"/>
    <w:rsid w:val="50F73225"/>
    <w:rsid w:val="51C93CED"/>
    <w:rsid w:val="51D8333D"/>
    <w:rsid w:val="52097B36"/>
    <w:rsid w:val="5236764F"/>
    <w:rsid w:val="525671A2"/>
    <w:rsid w:val="525B2501"/>
    <w:rsid w:val="525D5CCD"/>
    <w:rsid w:val="529414CF"/>
    <w:rsid w:val="52D57068"/>
    <w:rsid w:val="52DA13CD"/>
    <w:rsid w:val="52DB1B32"/>
    <w:rsid w:val="52EA4CAF"/>
    <w:rsid w:val="52F06AAE"/>
    <w:rsid w:val="52FF1F18"/>
    <w:rsid w:val="5314636C"/>
    <w:rsid w:val="53507245"/>
    <w:rsid w:val="536D2703"/>
    <w:rsid w:val="53D17969"/>
    <w:rsid w:val="53F647B5"/>
    <w:rsid w:val="53FF0F2B"/>
    <w:rsid w:val="546340FC"/>
    <w:rsid w:val="54AE3752"/>
    <w:rsid w:val="54E72799"/>
    <w:rsid w:val="551D3002"/>
    <w:rsid w:val="555C263F"/>
    <w:rsid w:val="555F417B"/>
    <w:rsid w:val="55A11A14"/>
    <w:rsid w:val="55E41033"/>
    <w:rsid w:val="571A6376"/>
    <w:rsid w:val="57660E61"/>
    <w:rsid w:val="57693738"/>
    <w:rsid w:val="578025D3"/>
    <w:rsid w:val="57812BA7"/>
    <w:rsid w:val="57934B3D"/>
    <w:rsid w:val="582133E3"/>
    <w:rsid w:val="58274F0A"/>
    <w:rsid w:val="583107E4"/>
    <w:rsid w:val="58645741"/>
    <w:rsid w:val="58833E95"/>
    <w:rsid w:val="58D201FF"/>
    <w:rsid w:val="594C7DA0"/>
    <w:rsid w:val="5963353C"/>
    <w:rsid w:val="5A6727E0"/>
    <w:rsid w:val="5AA118E8"/>
    <w:rsid w:val="5AD449CC"/>
    <w:rsid w:val="5B1C6CE0"/>
    <w:rsid w:val="5B7A1666"/>
    <w:rsid w:val="5B9A34E7"/>
    <w:rsid w:val="5B9D6DE6"/>
    <w:rsid w:val="5BA8355C"/>
    <w:rsid w:val="5BE9553F"/>
    <w:rsid w:val="5BFD5DEA"/>
    <w:rsid w:val="5C015D52"/>
    <w:rsid w:val="5C954797"/>
    <w:rsid w:val="5CDC16C3"/>
    <w:rsid w:val="5CF9335A"/>
    <w:rsid w:val="5D4F299A"/>
    <w:rsid w:val="5DAD31E5"/>
    <w:rsid w:val="5DF44B69"/>
    <w:rsid w:val="5E187C77"/>
    <w:rsid w:val="5E7853F2"/>
    <w:rsid w:val="5EA71F09"/>
    <w:rsid w:val="5EAF2B69"/>
    <w:rsid w:val="5ED11004"/>
    <w:rsid w:val="5EFA1B00"/>
    <w:rsid w:val="5F1A2FAE"/>
    <w:rsid w:val="5F3C5FAD"/>
    <w:rsid w:val="5F797126"/>
    <w:rsid w:val="5F8A3161"/>
    <w:rsid w:val="5F8D56A7"/>
    <w:rsid w:val="5F9E2392"/>
    <w:rsid w:val="5FA43980"/>
    <w:rsid w:val="601D5775"/>
    <w:rsid w:val="60AE5549"/>
    <w:rsid w:val="60D648B7"/>
    <w:rsid w:val="613F102B"/>
    <w:rsid w:val="61DE777D"/>
    <w:rsid w:val="61F76FF9"/>
    <w:rsid w:val="620C495A"/>
    <w:rsid w:val="622C061D"/>
    <w:rsid w:val="629177A6"/>
    <w:rsid w:val="629519B8"/>
    <w:rsid w:val="62AF4B71"/>
    <w:rsid w:val="63221CD2"/>
    <w:rsid w:val="633C3345"/>
    <w:rsid w:val="64035A0B"/>
    <w:rsid w:val="64056795"/>
    <w:rsid w:val="641E6403"/>
    <w:rsid w:val="646F7642"/>
    <w:rsid w:val="64D3024A"/>
    <w:rsid w:val="64D5471C"/>
    <w:rsid w:val="651E0234"/>
    <w:rsid w:val="656D46AB"/>
    <w:rsid w:val="65D465EF"/>
    <w:rsid w:val="65F800D6"/>
    <w:rsid w:val="66A679F4"/>
    <w:rsid w:val="66B20729"/>
    <w:rsid w:val="66EF30CB"/>
    <w:rsid w:val="672605BD"/>
    <w:rsid w:val="674D3AD4"/>
    <w:rsid w:val="676049FB"/>
    <w:rsid w:val="677108E4"/>
    <w:rsid w:val="677B5249"/>
    <w:rsid w:val="67DA3491"/>
    <w:rsid w:val="68165A63"/>
    <w:rsid w:val="681A4772"/>
    <w:rsid w:val="68215676"/>
    <w:rsid w:val="688C33D0"/>
    <w:rsid w:val="68AF67E6"/>
    <w:rsid w:val="68EF5BD6"/>
    <w:rsid w:val="69705A64"/>
    <w:rsid w:val="69905A70"/>
    <w:rsid w:val="69EF7051"/>
    <w:rsid w:val="69FE5485"/>
    <w:rsid w:val="6A0624A1"/>
    <w:rsid w:val="6AF94E9F"/>
    <w:rsid w:val="6B0D371D"/>
    <w:rsid w:val="6B6337E5"/>
    <w:rsid w:val="6BC8679F"/>
    <w:rsid w:val="6BE9749C"/>
    <w:rsid w:val="6C054EC7"/>
    <w:rsid w:val="6CD87562"/>
    <w:rsid w:val="6CD90B71"/>
    <w:rsid w:val="6CF9702D"/>
    <w:rsid w:val="6D313083"/>
    <w:rsid w:val="6D4A3C65"/>
    <w:rsid w:val="6DE46365"/>
    <w:rsid w:val="6DFC11D5"/>
    <w:rsid w:val="6E083803"/>
    <w:rsid w:val="6E11443C"/>
    <w:rsid w:val="6EEC1FCF"/>
    <w:rsid w:val="6EED1A33"/>
    <w:rsid w:val="6F1353D4"/>
    <w:rsid w:val="6F707688"/>
    <w:rsid w:val="6F990A1B"/>
    <w:rsid w:val="6FCD010C"/>
    <w:rsid w:val="6FCD79AC"/>
    <w:rsid w:val="6FF52348"/>
    <w:rsid w:val="706E109F"/>
    <w:rsid w:val="70E335C2"/>
    <w:rsid w:val="7117540D"/>
    <w:rsid w:val="714A05EA"/>
    <w:rsid w:val="718E2EEF"/>
    <w:rsid w:val="71A23A2F"/>
    <w:rsid w:val="71A95D2F"/>
    <w:rsid w:val="71C96D1E"/>
    <w:rsid w:val="72855E52"/>
    <w:rsid w:val="72A11F44"/>
    <w:rsid w:val="72FC6CC8"/>
    <w:rsid w:val="731F581E"/>
    <w:rsid w:val="7333404C"/>
    <w:rsid w:val="735030C9"/>
    <w:rsid w:val="73AD304D"/>
    <w:rsid w:val="73B611C7"/>
    <w:rsid w:val="740C3A99"/>
    <w:rsid w:val="745C6CF3"/>
    <w:rsid w:val="74874A9C"/>
    <w:rsid w:val="74EC00EB"/>
    <w:rsid w:val="75213139"/>
    <w:rsid w:val="75735527"/>
    <w:rsid w:val="75823DE7"/>
    <w:rsid w:val="75B722DE"/>
    <w:rsid w:val="75FD0A85"/>
    <w:rsid w:val="765300C6"/>
    <w:rsid w:val="768B6BA8"/>
    <w:rsid w:val="768E4BF7"/>
    <w:rsid w:val="76A7696B"/>
    <w:rsid w:val="76AA761B"/>
    <w:rsid w:val="76BE184D"/>
    <w:rsid w:val="76FA6442"/>
    <w:rsid w:val="76FE66C2"/>
    <w:rsid w:val="775E0DD1"/>
    <w:rsid w:val="776F248D"/>
    <w:rsid w:val="77A87169"/>
    <w:rsid w:val="77ED05AA"/>
    <w:rsid w:val="78087410"/>
    <w:rsid w:val="78A05517"/>
    <w:rsid w:val="78A12180"/>
    <w:rsid w:val="78D82AA6"/>
    <w:rsid w:val="79963D6A"/>
    <w:rsid w:val="79BB453A"/>
    <w:rsid w:val="79D44569"/>
    <w:rsid w:val="79F34A66"/>
    <w:rsid w:val="7A8D2B60"/>
    <w:rsid w:val="7A9022F0"/>
    <w:rsid w:val="7ADC4865"/>
    <w:rsid w:val="7B3F358D"/>
    <w:rsid w:val="7B90562D"/>
    <w:rsid w:val="7B98234F"/>
    <w:rsid w:val="7BC75F17"/>
    <w:rsid w:val="7C021B00"/>
    <w:rsid w:val="7C066A1B"/>
    <w:rsid w:val="7C3B306C"/>
    <w:rsid w:val="7C932BCA"/>
    <w:rsid w:val="7CBC23AE"/>
    <w:rsid w:val="7CE05860"/>
    <w:rsid w:val="7CE20067"/>
    <w:rsid w:val="7CEE58F8"/>
    <w:rsid w:val="7CF66BA4"/>
    <w:rsid w:val="7CFD1B37"/>
    <w:rsid w:val="7E667F40"/>
    <w:rsid w:val="7E6E5A4F"/>
    <w:rsid w:val="7E7C5B3A"/>
    <w:rsid w:val="7EB57228"/>
    <w:rsid w:val="7EEA146B"/>
    <w:rsid w:val="7FDF579A"/>
    <w:rsid w:val="7FFE30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ind w:firstLine="998" w:firstLineChars="200"/>
      <w:jc w:val="both"/>
    </w:pPr>
    <w:rPr>
      <w:rFonts w:ascii="Times New Roman" w:hAnsi="Times New Roman" w:eastAsia="仿宋_GB2312" w:cstheme="minorBidi"/>
      <w:kern w:val="2"/>
      <w:sz w:val="32"/>
      <w:szCs w:val="22"/>
      <w:lang w:val="en-US" w:eastAsia="zh-CN" w:bidi="ar-SA"/>
    </w:rPr>
  </w:style>
  <w:style w:type="paragraph" w:styleId="2">
    <w:name w:val="heading 1"/>
    <w:basedOn w:val="1"/>
    <w:next w:val="1"/>
    <w:qFormat/>
    <w:uiPriority w:val="0"/>
    <w:pPr>
      <w:jc w:val="left"/>
      <w:outlineLvl w:val="0"/>
    </w:pPr>
    <w:rPr>
      <w:rFonts w:hint="eastAsia" w:ascii="宋体" w:hAnsi="宋体" w:eastAsia="黑体" w:cs="Times New Roman"/>
      <w:b/>
      <w:kern w:val="44"/>
      <w:szCs w:val="48"/>
    </w:rPr>
  </w:style>
  <w:style w:type="paragraph" w:styleId="3">
    <w:name w:val="heading 2"/>
    <w:basedOn w:val="1"/>
    <w:next w:val="4"/>
    <w:link w:val="24"/>
    <w:unhideWhenUsed/>
    <w:qFormat/>
    <w:uiPriority w:val="0"/>
    <w:pPr>
      <w:keepNext/>
      <w:keepLines/>
      <w:spacing w:line="360" w:lineRule="auto"/>
      <w:ind w:firstLine="1140"/>
      <w:outlineLvl w:val="1"/>
    </w:pPr>
    <w:rPr>
      <w:rFonts w:eastAsia="楷体_GB2312"/>
      <w:b/>
      <w:bCs/>
      <w:szCs w:val="32"/>
    </w:rPr>
  </w:style>
  <w:style w:type="paragraph" w:styleId="5">
    <w:name w:val="heading 3"/>
    <w:basedOn w:val="1"/>
    <w:next w:val="1"/>
    <w:unhideWhenUsed/>
    <w:qFormat/>
    <w:uiPriority w:val="0"/>
    <w:pPr>
      <w:ind w:firstLine="640"/>
      <w:jc w:val="left"/>
      <w:outlineLvl w:val="2"/>
    </w:pPr>
    <w:rPr>
      <w:rFonts w:hint="eastAsia" w:cs="宋体"/>
      <w:b/>
      <w:szCs w:val="27"/>
    </w:rPr>
  </w:style>
  <w:style w:type="paragraph" w:styleId="6">
    <w:name w:val="heading 4"/>
    <w:basedOn w:val="1"/>
    <w:next w:val="1"/>
    <w:unhideWhenUsed/>
    <w:qFormat/>
    <w:uiPriority w:val="0"/>
    <w:pPr>
      <w:keepNext/>
      <w:keepLines/>
      <w:spacing w:before="120" w:after="120" w:line="360" w:lineRule="auto"/>
      <w:ind w:firstLine="0" w:firstLineChars="0"/>
      <w:outlineLvl w:val="3"/>
    </w:pPr>
    <w:rPr>
      <w:rFonts w:eastAsia="黑体"/>
      <w:b/>
      <w:sz w:val="22"/>
    </w:rPr>
  </w:style>
  <w:style w:type="paragraph" w:styleId="7">
    <w:name w:val="heading 5"/>
    <w:basedOn w:val="1"/>
    <w:next w:val="1"/>
    <w:link w:val="23"/>
    <w:semiHidden/>
    <w:unhideWhenUsed/>
    <w:qFormat/>
    <w:uiPriority w:val="0"/>
    <w:pPr>
      <w:keepNext/>
      <w:keepLines/>
      <w:spacing w:before="50" w:beforeLines="50" w:line="360" w:lineRule="auto"/>
      <w:ind w:firstLine="0" w:firstLineChars="0"/>
      <w:outlineLvl w:val="4"/>
    </w:pPr>
    <w:rPr>
      <w:rFonts w:eastAsia="宋体"/>
      <w:i/>
    </w:rPr>
  </w:style>
  <w:style w:type="character" w:default="1" w:styleId="18">
    <w:name w:val="Default Paragraph Font"/>
    <w:semiHidden/>
    <w:unhideWhenUsed/>
    <w:uiPriority w:val="1"/>
  </w:style>
  <w:style w:type="table" w:default="1" w:styleId="17">
    <w:name w:val="Normal Table"/>
    <w:semiHidden/>
    <w:unhideWhenUsed/>
    <w:uiPriority w:val="99"/>
    <w:tblPr>
      <w:tblCellMar>
        <w:top w:w="0" w:type="dxa"/>
        <w:left w:w="108" w:type="dxa"/>
        <w:bottom w:w="0" w:type="dxa"/>
        <w:right w:w="108" w:type="dxa"/>
      </w:tblCellMar>
    </w:tblPr>
  </w:style>
  <w:style w:type="paragraph" w:styleId="4">
    <w:name w:val="Date"/>
    <w:basedOn w:val="1"/>
    <w:next w:val="1"/>
    <w:qFormat/>
    <w:uiPriority w:val="0"/>
    <w:pPr>
      <w:ind w:left="100" w:leftChars="2500"/>
    </w:pPr>
  </w:style>
  <w:style w:type="paragraph" w:styleId="8">
    <w:name w:val="annotation text"/>
    <w:basedOn w:val="1"/>
    <w:qFormat/>
    <w:uiPriority w:val="0"/>
    <w:pPr>
      <w:jc w:val="left"/>
    </w:pPr>
  </w:style>
  <w:style w:type="paragraph" w:styleId="9">
    <w:name w:val="toc 3"/>
    <w:basedOn w:val="1"/>
    <w:next w:val="1"/>
    <w:qFormat/>
    <w:uiPriority w:val="0"/>
    <w:pPr>
      <w:ind w:left="840" w:leftChars="400"/>
    </w:pPr>
  </w:style>
  <w:style w:type="paragraph" w:styleId="10">
    <w:name w:val="Balloon Text"/>
    <w:basedOn w:val="1"/>
    <w:link w:val="35"/>
    <w:uiPriority w:val="0"/>
    <w:pPr>
      <w:spacing w:line="240" w:lineRule="auto"/>
    </w:pPr>
    <w:rPr>
      <w:sz w:val="18"/>
      <w:szCs w:val="18"/>
    </w:rPr>
  </w:style>
  <w:style w:type="paragraph" w:styleId="11">
    <w:name w:val="footer"/>
    <w:basedOn w:val="1"/>
    <w:link w:val="34"/>
    <w:qFormat/>
    <w:uiPriority w:val="0"/>
    <w:pPr>
      <w:tabs>
        <w:tab w:val="center" w:pos="4153"/>
        <w:tab w:val="right" w:pos="8306"/>
      </w:tabs>
      <w:snapToGrid w:val="0"/>
      <w:jc w:val="left"/>
    </w:pPr>
    <w:rPr>
      <w:sz w:val="18"/>
    </w:rPr>
  </w:style>
  <w:style w:type="paragraph" w:styleId="12">
    <w:name w:val="header"/>
    <w:basedOn w:val="1"/>
    <w:link w:val="33"/>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pPr>
    <w:rPr>
      <w:sz w:val="18"/>
    </w:rPr>
  </w:style>
  <w:style w:type="paragraph" w:styleId="13">
    <w:name w:val="toc 1"/>
    <w:basedOn w:val="1"/>
    <w:next w:val="1"/>
    <w:qFormat/>
    <w:uiPriority w:val="0"/>
  </w:style>
  <w:style w:type="paragraph" w:styleId="14">
    <w:name w:val="toc 2"/>
    <w:basedOn w:val="1"/>
    <w:next w:val="1"/>
    <w:qFormat/>
    <w:uiPriority w:val="0"/>
    <w:pPr>
      <w:ind w:left="420" w:leftChars="200"/>
    </w:pPr>
  </w:style>
  <w:style w:type="paragraph" w:styleId="15">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16">
    <w:name w:val="Normal (Web)"/>
    <w:basedOn w:val="1"/>
    <w:qFormat/>
    <w:uiPriority w:val="0"/>
    <w:pPr>
      <w:spacing w:beforeAutospacing="1" w:afterAutospacing="1"/>
      <w:jc w:val="left"/>
    </w:pPr>
    <w:rPr>
      <w:rFonts w:cs="Times New Roman"/>
      <w:kern w:val="0"/>
      <w:sz w:val="24"/>
    </w:rPr>
  </w:style>
  <w:style w:type="character" w:styleId="19">
    <w:name w:val="Strong"/>
    <w:basedOn w:val="18"/>
    <w:qFormat/>
    <w:uiPriority w:val="0"/>
    <w:rPr>
      <w:b/>
    </w:rPr>
  </w:style>
  <w:style w:type="character" w:styleId="20">
    <w:name w:val="FollowedHyperlink"/>
    <w:basedOn w:val="18"/>
    <w:qFormat/>
    <w:uiPriority w:val="0"/>
    <w:rPr>
      <w:color w:val="000000"/>
      <w:u w:val="none"/>
    </w:rPr>
  </w:style>
  <w:style w:type="character" w:styleId="21">
    <w:name w:val="Hyperlink"/>
    <w:basedOn w:val="18"/>
    <w:qFormat/>
    <w:uiPriority w:val="0"/>
    <w:rPr>
      <w:color w:val="0000FF"/>
      <w:u w:val="single"/>
    </w:rPr>
  </w:style>
  <w:style w:type="paragraph" w:customStyle="1" w:styleId="22">
    <w:name w:val="样式1"/>
    <w:basedOn w:val="1"/>
    <w:qFormat/>
    <w:uiPriority w:val="0"/>
    <w:rPr>
      <w:rFonts w:asciiTheme="minorHAnsi" w:hAnsiTheme="minorHAnsi"/>
    </w:rPr>
  </w:style>
  <w:style w:type="character" w:customStyle="1" w:styleId="23">
    <w:name w:val="标题 5 字符"/>
    <w:link w:val="7"/>
    <w:qFormat/>
    <w:uiPriority w:val="9"/>
    <w:rPr>
      <w:rFonts w:ascii="Times New Roman" w:hAnsi="Times New Roman" w:eastAsia="宋体"/>
      <w:i/>
      <w:sz w:val="22"/>
    </w:rPr>
  </w:style>
  <w:style w:type="character" w:customStyle="1" w:styleId="24">
    <w:name w:val="标题 2 字符"/>
    <w:link w:val="3"/>
    <w:qFormat/>
    <w:uiPriority w:val="0"/>
    <w:rPr>
      <w:rFonts w:ascii="Times New Roman" w:hAnsi="Times New Roman" w:eastAsia="楷体_GB2312"/>
      <w:b/>
      <w:bCs/>
      <w:sz w:val="32"/>
      <w:szCs w:val="32"/>
    </w:rPr>
  </w:style>
  <w:style w:type="character" w:customStyle="1" w:styleId="25">
    <w:name w:val="txt"/>
    <w:basedOn w:val="18"/>
    <w:qFormat/>
    <w:uiPriority w:val="0"/>
  </w:style>
  <w:style w:type="character" w:customStyle="1" w:styleId="26">
    <w:name w:val="llcs_lm"/>
    <w:basedOn w:val="18"/>
    <w:qFormat/>
    <w:uiPriority w:val="0"/>
    <w:rPr>
      <w:vanish/>
    </w:rPr>
  </w:style>
  <w:style w:type="character" w:customStyle="1" w:styleId="27">
    <w:name w:val="llcs"/>
    <w:basedOn w:val="18"/>
    <w:qFormat/>
    <w:uiPriority w:val="0"/>
    <w:rPr>
      <w:vanish/>
    </w:rPr>
  </w:style>
  <w:style w:type="character" w:customStyle="1" w:styleId="28">
    <w:name w:val="author"/>
    <w:basedOn w:val="18"/>
    <w:qFormat/>
    <w:uiPriority w:val="0"/>
    <w:rPr>
      <w:vanish/>
    </w:rPr>
  </w:style>
  <w:style w:type="paragraph" w:customStyle="1" w:styleId="29">
    <w:name w:val="Default"/>
    <w:unhideWhenUsed/>
    <w:qFormat/>
    <w:uiPriority w:val="99"/>
    <w:pPr>
      <w:widowControl w:val="0"/>
      <w:autoSpaceDE w:val="0"/>
      <w:autoSpaceDN w:val="0"/>
      <w:adjustRightInd w:val="0"/>
    </w:pPr>
    <w:rPr>
      <w:rFonts w:hint="eastAsia" w:ascii="仿宋" w:hAnsi="仿宋" w:eastAsia="仿宋" w:cs="Times New Roman"/>
      <w:color w:val="000000"/>
      <w:sz w:val="24"/>
      <w:lang w:val="en-US" w:eastAsia="zh-CN" w:bidi="ar-SA"/>
    </w:rPr>
  </w:style>
  <w:style w:type="paragraph" w:customStyle="1" w:styleId="30">
    <w:name w:val="WPSOffice手动目录 1"/>
    <w:qFormat/>
    <w:uiPriority w:val="0"/>
    <w:rPr>
      <w:rFonts w:ascii="Times New Roman" w:hAnsi="Times New Roman" w:eastAsia="宋体" w:cs="Times New Roman"/>
      <w:lang w:val="en-US" w:eastAsia="zh-CN" w:bidi="ar-SA"/>
    </w:rPr>
  </w:style>
  <w:style w:type="paragraph" w:customStyle="1" w:styleId="31">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32">
    <w:name w:val="WPSOffice手动目录 3"/>
    <w:qFormat/>
    <w:uiPriority w:val="0"/>
    <w:pPr>
      <w:ind w:left="400" w:leftChars="400"/>
    </w:pPr>
    <w:rPr>
      <w:rFonts w:ascii="Times New Roman" w:hAnsi="Times New Roman" w:eastAsia="宋体" w:cs="Times New Roman"/>
      <w:lang w:val="en-US" w:eastAsia="zh-CN" w:bidi="ar-SA"/>
    </w:rPr>
  </w:style>
  <w:style w:type="character" w:customStyle="1" w:styleId="33">
    <w:name w:val="页眉 字符"/>
    <w:basedOn w:val="18"/>
    <w:link w:val="12"/>
    <w:uiPriority w:val="0"/>
    <w:rPr>
      <w:rFonts w:hint="default" w:ascii="Calibri" w:hAnsi="Calibri" w:cs="Calibri"/>
      <w:kern w:val="2"/>
      <w:sz w:val="18"/>
      <w:szCs w:val="18"/>
    </w:rPr>
  </w:style>
  <w:style w:type="character" w:customStyle="1" w:styleId="34">
    <w:name w:val="页脚 字符"/>
    <w:basedOn w:val="18"/>
    <w:link w:val="11"/>
    <w:qFormat/>
    <w:uiPriority w:val="0"/>
    <w:rPr>
      <w:rFonts w:hint="default" w:ascii="Calibri" w:hAnsi="Calibri" w:cs="Calibri"/>
      <w:kern w:val="2"/>
      <w:sz w:val="18"/>
      <w:szCs w:val="18"/>
    </w:rPr>
  </w:style>
  <w:style w:type="character" w:customStyle="1" w:styleId="35">
    <w:name w:val="批注框文本 字符"/>
    <w:basedOn w:val="18"/>
    <w:link w:val="10"/>
    <w:uiPriority w:val="0"/>
    <w:rPr>
      <w:rFonts w:eastAsia="仿宋_GB2312"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glossaryDocument" Target="glossary/document.xml"/><Relationship Id="rId16" Type="http://schemas.openxmlformats.org/officeDocument/2006/relationships/fontTable" Target="fontTable.xml"/><Relationship Id="rId15" Type="http://schemas.microsoft.com/office/2006/relationships/keyMapCustomizations" Target="customizations.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9ff7f27a-10b0-4fdd-ba89-5f3917677978}"/>
        <w:style w:val=""/>
        <w:category>
          <w:name w:val="常规"/>
          <w:gallery w:val="placeholder"/>
        </w:category>
        <w:types>
          <w:type w:val="bbPlcHdr"/>
        </w:types>
        <w:behaviors>
          <w:behavior w:val="content"/>
        </w:behaviors>
        <w:description w:val=""/>
        <w:guid w:val="{9FF7F27A-10B0-4FDD-BA89-5F3917677978}"/>
      </w:docPartPr>
      <w:docPartBody>
        <w:p>
          <w:r>
            <w:rPr>
              <w:color w:val="808080"/>
            </w:rPr>
            <w:t>单击此处输入文字。</w:t>
          </w:r>
        </w:p>
      </w:docPartBody>
    </w:docPart>
    <w:docPart>
      <w:docPartPr>
        <w:name w:val="{20e4cef5-467e-4b28-b9cb-c00aaddb3572}"/>
        <w:style w:val=""/>
        <w:category>
          <w:name w:val="常规"/>
          <w:gallery w:val="placeholder"/>
        </w:category>
        <w:types>
          <w:type w:val="bbPlcHdr"/>
        </w:types>
        <w:behaviors>
          <w:behavior w:val="content"/>
        </w:behaviors>
        <w:description w:val=""/>
        <w:guid w:val="{20E4CEF5-467E-4B28-B9CB-C00AADDB3572}"/>
      </w:docPartPr>
      <w:docPartBody>
        <w:p>
          <w:r>
            <w:rPr>
              <w:color w:val="808080"/>
            </w:rPr>
            <w:t>单击此处输入文字。</w:t>
          </w:r>
        </w:p>
      </w:docPartBody>
    </w:docPart>
    <w:docPart>
      <w:docPartPr>
        <w:name w:val="{b2a234f3-0112-4055-82c5-d9795c26abe3}"/>
        <w:style w:val=""/>
        <w:category>
          <w:name w:val="常规"/>
          <w:gallery w:val="placeholder"/>
        </w:category>
        <w:types>
          <w:type w:val="bbPlcHdr"/>
        </w:types>
        <w:behaviors>
          <w:behavior w:val="content"/>
        </w:behaviors>
        <w:description w:val=""/>
        <w:guid w:val="{B2A234F3-0112-4055-82C5-D9795C26ABE3}"/>
      </w:docPartPr>
      <w:docPartBody>
        <w:p>
          <w:r>
            <w:rPr>
              <w:color w:val="808080"/>
            </w:rPr>
            <w:t>单击此处输入文字。</w:t>
          </w:r>
        </w:p>
      </w:docPartBody>
    </w:docPart>
    <w:docPart>
      <w:docPartPr>
        <w:name w:val="{4cea1374-8745-4391-9990-e84ad6a471b2}"/>
        <w:style w:val=""/>
        <w:category>
          <w:name w:val="常规"/>
          <w:gallery w:val="placeholder"/>
        </w:category>
        <w:types>
          <w:type w:val="bbPlcHdr"/>
        </w:types>
        <w:behaviors>
          <w:behavior w:val="content"/>
        </w:behaviors>
        <w:description w:val=""/>
        <w:guid w:val="{4CEA1374-8745-4391-9990-E84AD6A471B2}"/>
      </w:docPartPr>
      <w:docPartBody>
        <w:p>
          <w:r>
            <w:rPr>
              <w:color w:val="808080"/>
            </w:rPr>
            <w:t>单击此处输入文字。</w:t>
          </w:r>
        </w:p>
      </w:docPartBody>
    </w:docPart>
    <w:docPart>
      <w:docPartPr>
        <w:name w:val="{823bdc69-ac76-4953-a01d-ff441faabc58}"/>
        <w:style w:val=""/>
        <w:category>
          <w:name w:val="常规"/>
          <w:gallery w:val="placeholder"/>
        </w:category>
        <w:types>
          <w:type w:val="bbPlcHdr"/>
        </w:types>
        <w:behaviors>
          <w:behavior w:val="content"/>
        </w:behaviors>
        <w:description w:val=""/>
        <w:guid w:val="{823BDC69-AC76-4953-A01D-FF441FAABC58}"/>
      </w:docPartPr>
      <w:docPartBody>
        <w:p>
          <w:r>
            <w:rPr>
              <w:color w:val="808080"/>
            </w:rPr>
            <w:t>单击此处输入文字。</w:t>
          </w:r>
        </w:p>
      </w:docPartBody>
    </w:docPart>
    <w:docPart>
      <w:docPartPr>
        <w:name w:val="{41662ba2-5e55-4a4d-b7db-cf0d2f1ecef9}"/>
        <w:style w:val=""/>
        <w:category>
          <w:name w:val="常规"/>
          <w:gallery w:val="placeholder"/>
        </w:category>
        <w:types>
          <w:type w:val="bbPlcHdr"/>
        </w:types>
        <w:behaviors>
          <w:behavior w:val="content"/>
        </w:behaviors>
        <w:description w:val=""/>
        <w:guid w:val="{41662BA2-5E55-4A4D-B7DB-CF0D2F1ECEF9}"/>
      </w:docPartPr>
      <w:docPartBody>
        <w:p>
          <w:r>
            <w:rPr>
              <w:color w:val="808080"/>
            </w:rPr>
            <w:t>单击此处输入文字。</w:t>
          </w:r>
        </w:p>
      </w:docPartBody>
    </w:docPart>
    <w:docPart>
      <w:docPartPr>
        <w:name w:val="{6021e7e9-e66b-44bb-895c-338567502124}"/>
        <w:style w:val=""/>
        <w:category>
          <w:name w:val="常规"/>
          <w:gallery w:val="placeholder"/>
        </w:category>
        <w:types>
          <w:type w:val="bbPlcHdr"/>
        </w:types>
        <w:behaviors>
          <w:behavior w:val="content"/>
        </w:behaviors>
        <w:description w:val=""/>
        <w:guid w:val="{6021E7E9-E66B-44BB-895C-338567502124}"/>
      </w:docPartPr>
      <w:docPartBody>
        <w:p>
          <w:r>
            <w:rPr>
              <w:color w:val="808080"/>
            </w:rPr>
            <w:t>单击此处输入文字。</w:t>
          </w:r>
        </w:p>
      </w:docPartBody>
    </w:docPart>
    <w:docPart>
      <w:docPartPr>
        <w:name w:val="{0060c773-041e-4528-a06d-2914ab79ca53}"/>
        <w:style w:val=""/>
        <w:category>
          <w:name w:val="常规"/>
          <w:gallery w:val="placeholder"/>
        </w:category>
        <w:types>
          <w:type w:val="bbPlcHdr"/>
        </w:types>
        <w:behaviors>
          <w:behavior w:val="content"/>
        </w:behaviors>
        <w:description w:val=""/>
        <w:guid w:val="{0060C773-041E-4528-A06D-2914AB79CA53}"/>
      </w:docPartPr>
      <w:docPartBody>
        <w:p>
          <w:r>
            <w:rPr>
              <w:color w:val="808080"/>
            </w:rPr>
            <w:t>单击此处输入文字。</w:t>
          </w:r>
        </w:p>
      </w:docPartBody>
    </w:docPart>
    <w:docPart>
      <w:docPartPr>
        <w:name w:val="{d110a63f-796d-4a57-a04f-2bdc2f4f9f93}"/>
        <w:style w:val=""/>
        <w:category>
          <w:name w:val="常规"/>
          <w:gallery w:val="placeholder"/>
        </w:category>
        <w:types>
          <w:type w:val="bbPlcHdr"/>
        </w:types>
        <w:behaviors>
          <w:behavior w:val="content"/>
        </w:behaviors>
        <w:description w:val=""/>
        <w:guid w:val="{D110A63F-796D-4A57-A04F-2BDC2F4F9F93}"/>
      </w:docPartPr>
      <w:docPartBody>
        <w:p>
          <w:r>
            <w:rPr>
              <w:color w:val="808080"/>
            </w:rPr>
            <w:t>单击此处输入文字。</w:t>
          </w:r>
        </w:p>
      </w:docPartBody>
    </w:docPart>
    <w:docPart>
      <w:docPartPr>
        <w:name w:val="{02451abf-fbbf-4e37-8c1c-a95380940cf2}"/>
        <w:style w:val=""/>
        <w:category>
          <w:name w:val="常规"/>
          <w:gallery w:val="placeholder"/>
        </w:category>
        <w:types>
          <w:type w:val="bbPlcHdr"/>
        </w:types>
        <w:behaviors>
          <w:behavior w:val="content"/>
        </w:behaviors>
        <w:description w:val=""/>
        <w:guid w:val="{02451ABF-FBBF-4E37-8C1C-A95380940CF2}"/>
      </w:docPartPr>
      <w:docPartBody>
        <w:p>
          <w:r>
            <w:rPr>
              <w:color w:val="808080"/>
            </w:rPr>
            <w:t>单击此处输入文字。</w:t>
          </w:r>
        </w:p>
      </w:docPartBody>
    </w:docPart>
    <w:docPart>
      <w:docPartPr>
        <w:name w:val="{7aa9968d-11a4-4417-9b8f-b54478c10587}"/>
        <w:style w:val=""/>
        <w:category>
          <w:name w:val="常规"/>
          <w:gallery w:val="placeholder"/>
        </w:category>
        <w:types>
          <w:type w:val="bbPlcHdr"/>
        </w:types>
        <w:behaviors>
          <w:behavior w:val="content"/>
        </w:behaviors>
        <w:description w:val=""/>
        <w:guid w:val="{7AA9968D-11A4-4417-9B8F-B54478C10587}"/>
      </w:docPartPr>
      <w:docPartBody>
        <w:p>
          <w:r>
            <w:rPr>
              <w:color w:val="808080"/>
            </w:rPr>
            <w:t>单击此处输入文字。</w:t>
          </w:r>
        </w:p>
      </w:docPartBody>
    </w:docPart>
    <w:docPart>
      <w:docPartPr>
        <w:name w:val="{0085e1f2-7791-4f02-8e73-de4ebff1e260}"/>
        <w:style w:val=""/>
        <w:category>
          <w:name w:val="常规"/>
          <w:gallery w:val="placeholder"/>
        </w:category>
        <w:types>
          <w:type w:val="bbPlcHdr"/>
        </w:types>
        <w:behaviors>
          <w:behavior w:val="content"/>
        </w:behaviors>
        <w:description w:val=""/>
        <w:guid w:val="{0085E1F2-7791-4F02-8E73-DE4EBFF1E260}"/>
      </w:docPartPr>
      <w:docPartBody>
        <w:p>
          <w:r>
            <w:rPr>
              <w:color w:val="808080"/>
            </w:rPr>
            <w:t>单击此处输入文字。</w:t>
          </w:r>
        </w:p>
      </w:docPartBody>
    </w:docPart>
    <w:docPart>
      <w:docPartPr>
        <w:name w:val="{4f6fbdfc-bde4-4235-bddc-ef6124edd0bf}"/>
        <w:style w:val=""/>
        <w:category>
          <w:name w:val="常规"/>
          <w:gallery w:val="placeholder"/>
        </w:category>
        <w:types>
          <w:type w:val="bbPlcHdr"/>
        </w:types>
        <w:behaviors>
          <w:behavior w:val="content"/>
        </w:behaviors>
        <w:description w:val=""/>
        <w:guid w:val="{4F6FBDFC-BDE4-4235-BDDC-EF6124EDD0BF}"/>
      </w:docPartPr>
      <w:docPartBody>
        <w:p>
          <w:r>
            <w:rPr>
              <w:color w:val="808080"/>
            </w:rPr>
            <w:t>单击此处输入文字。</w:t>
          </w:r>
        </w:p>
      </w:docPartBody>
    </w:docPart>
    <w:docPart>
      <w:docPartPr>
        <w:name w:val="{9d03ba5a-2469-466f-980d-81459f6c0da3}"/>
        <w:style w:val=""/>
        <w:category>
          <w:name w:val="常规"/>
          <w:gallery w:val="placeholder"/>
        </w:category>
        <w:types>
          <w:type w:val="bbPlcHdr"/>
        </w:types>
        <w:behaviors>
          <w:behavior w:val="content"/>
        </w:behaviors>
        <w:description w:val=""/>
        <w:guid w:val="{9D03BA5A-2469-466F-980D-81459F6C0DA3}"/>
      </w:docPartPr>
      <w:docPartBody>
        <w:p>
          <w:r>
            <w:rPr>
              <w:color w:val="808080"/>
            </w:rPr>
            <w:t>单击此处输入文字。</w:t>
          </w:r>
        </w:p>
      </w:docPartBody>
    </w:docPart>
    <w:docPart>
      <w:docPartPr>
        <w:name w:val="{7e051068-5e55-49ac-bd23-fa332eb13634}"/>
        <w:style w:val=""/>
        <w:category>
          <w:name w:val="常规"/>
          <w:gallery w:val="placeholder"/>
        </w:category>
        <w:types>
          <w:type w:val="bbPlcHdr"/>
        </w:types>
        <w:behaviors>
          <w:behavior w:val="content"/>
        </w:behaviors>
        <w:description w:val=""/>
        <w:guid w:val="{7E051068-5E55-49AC-BD23-FA332EB13634}"/>
      </w:docPartPr>
      <w:docPartBody>
        <w:p>
          <w:r>
            <w:rPr>
              <w:color w:val="808080"/>
            </w:rPr>
            <w:t>单击此处输入文字。</w:t>
          </w:r>
        </w:p>
      </w:docPartBody>
    </w:docPart>
    <w:docPart>
      <w:docPartPr>
        <w:name w:val="{39591a55-7d70-4649-92bd-efec9f9a2e32}"/>
        <w:style w:val=""/>
        <w:category>
          <w:name w:val="常规"/>
          <w:gallery w:val="placeholder"/>
        </w:category>
        <w:types>
          <w:type w:val="bbPlcHdr"/>
        </w:types>
        <w:behaviors>
          <w:behavior w:val="content"/>
        </w:behaviors>
        <w:description w:val=""/>
        <w:guid w:val="{39591A55-7D70-4649-92BD-EFEC9F9A2E32}"/>
      </w:docPartPr>
      <w:docPartBody>
        <w:p>
          <w:r>
            <w:rPr>
              <w:color w:val="808080"/>
            </w:rPr>
            <w:t>单击此处输入文字。</w:t>
          </w:r>
        </w:p>
      </w:docPartBody>
    </w:docPart>
    <w:docPart>
      <w:docPartPr>
        <w:name w:val="{c6c3db95-6cc6-4458-93c5-101ec1354fd0}"/>
        <w:style w:val=""/>
        <w:category>
          <w:name w:val="常规"/>
          <w:gallery w:val="placeholder"/>
        </w:category>
        <w:types>
          <w:type w:val="bbPlcHdr"/>
        </w:types>
        <w:behaviors>
          <w:behavior w:val="content"/>
        </w:behaviors>
        <w:description w:val=""/>
        <w:guid w:val="{C6C3DB95-6CC6-4458-93C5-101EC1354FD0}"/>
      </w:docPartPr>
      <w:docPartBody>
        <w:p>
          <w:r>
            <w:rPr>
              <w:color w:val="808080"/>
            </w:rPr>
            <w:t>单击此处输入文字。</w:t>
          </w:r>
        </w:p>
      </w:docPartBody>
    </w:docPart>
    <w:docPart>
      <w:docPartPr>
        <w:name w:val="{69b0921e-bbba-4f1a-baf8-7f682e41ad26}"/>
        <w:style w:val=""/>
        <w:category>
          <w:name w:val="常规"/>
          <w:gallery w:val="placeholder"/>
        </w:category>
        <w:types>
          <w:type w:val="bbPlcHdr"/>
        </w:types>
        <w:behaviors>
          <w:behavior w:val="content"/>
        </w:behaviors>
        <w:description w:val=""/>
        <w:guid w:val="{69B0921E-BBBA-4F1A-BAF8-7F682E41AD26}"/>
      </w:docPartPr>
      <w:docPartBody>
        <w:p>
          <w:r>
            <w:rPr>
              <w:color w:val="808080"/>
            </w:rPr>
            <w:t>单击此处输入文字。</w:t>
          </w:r>
        </w:p>
      </w:docPartBody>
    </w:docPart>
    <w:docPart>
      <w:docPartPr>
        <w:name w:val="{accd790d-eee1-4dcf-b2fd-9504f2570de6}"/>
        <w:style w:val=""/>
        <w:category>
          <w:name w:val="常规"/>
          <w:gallery w:val="placeholder"/>
        </w:category>
        <w:types>
          <w:type w:val="bbPlcHdr"/>
        </w:types>
        <w:behaviors>
          <w:behavior w:val="content"/>
        </w:behaviors>
        <w:description w:val=""/>
        <w:guid w:val="{ACCD790D-EEE1-4DCF-B2FD-9504F2570DE6}"/>
      </w:docPartPr>
      <w:docPartBody>
        <w:p>
          <w:r>
            <w:rPr>
              <w:color w:val="808080"/>
            </w:rPr>
            <w:t>单击此处输入文字。</w:t>
          </w:r>
        </w:p>
      </w:docPartBody>
    </w:docPart>
    <w:docPart>
      <w:docPartPr>
        <w:name w:val="{3ba0bbea-4788-42bb-b80d-ed1ded7efa08}"/>
        <w:style w:val=""/>
        <w:category>
          <w:name w:val="常规"/>
          <w:gallery w:val="placeholder"/>
        </w:category>
        <w:types>
          <w:type w:val="bbPlcHdr"/>
        </w:types>
        <w:behaviors>
          <w:behavior w:val="content"/>
        </w:behaviors>
        <w:description w:val=""/>
        <w:guid w:val="{3BA0BBEA-4788-42BB-B80D-ED1DED7EFA08}"/>
      </w:docPartPr>
      <w:docPartBody>
        <w:p>
          <w:r>
            <w:rPr>
              <w:color w:val="808080"/>
            </w:rPr>
            <w:t>单击此处输入文字。</w:t>
          </w:r>
        </w:p>
      </w:docPartBody>
    </w:docPart>
    <w:docPart>
      <w:docPartPr>
        <w:name w:val="{6fb757e0-dabf-417a-be0e-66e68fc7d688}"/>
        <w:style w:val=""/>
        <w:category>
          <w:name w:val="常规"/>
          <w:gallery w:val="placeholder"/>
        </w:category>
        <w:types>
          <w:type w:val="bbPlcHdr"/>
        </w:types>
        <w:behaviors>
          <w:behavior w:val="content"/>
        </w:behaviors>
        <w:description w:val=""/>
        <w:guid w:val="{6FB757E0-DABF-417A-BE0E-66E68FC7D688}"/>
      </w:docPartPr>
      <w:docPartBody>
        <w:p>
          <w:r>
            <w:rPr>
              <w:color w:val="808080"/>
            </w:rPr>
            <w:t>单击此处输入文字。</w:t>
          </w:r>
        </w:p>
      </w:docPartBody>
    </w:docPart>
    <w:docPart>
      <w:docPartPr>
        <w:name w:val="{11d18b68-4c4e-4327-bbd9-b971edac08bf}"/>
        <w:style w:val=""/>
        <w:category>
          <w:name w:val="常规"/>
          <w:gallery w:val="placeholder"/>
        </w:category>
        <w:types>
          <w:type w:val="bbPlcHdr"/>
        </w:types>
        <w:behaviors>
          <w:behavior w:val="content"/>
        </w:behaviors>
        <w:description w:val=""/>
        <w:guid w:val="{11D18B68-4C4E-4327-BBD9-B971EDAC08BF}"/>
      </w:docPartPr>
      <w:docPartBody>
        <w:p>
          <w:r>
            <w:rPr>
              <w:color w:val="808080"/>
            </w:rPr>
            <w:t>单击此处输入文字。</w:t>
          </w:r>
        </w:p>
      </w:docPartBody>
    </w:docPart>
    <w:docPart>
      <w:docPartPr>
        <w:name w:val="{d7fa8edd-9d97-4a63-aec4-af5e73354247}"/>
        <w:style w:val=""/>
        <w:category>
          <w:name w:val="常规"/>
          <w:gallery w:val="placeholder"/>
        </w:category>
        <w:types>
          <w:type w:val="bbPlcHdr"/>
        </w:types>
        <w:behaviors>
          <w:behavior w:val="content"/>
        </w:behaviors>
        <w:description w:val=""/>
        <w:guid w:val="{D7FA8EDD-9D97-4A63-AEC4-AF5E73354247}"/>
      </w:docPartPr>
      <w:docPartBody>
        <w:p>
          <w:r>
            <w:rPr>
              <w:color w:val="808080"/>
            </w:rPr>
            <w:t>单击此处输入文字。</w:t>
          </w:r>
        </w:p>
      </w:docPartBody>
    </w:docPart>
    <w:docPart>
      <w:docPartPr>
        <w:name w:val="{df468848-aadb-4516-8f33-7fdf0432ee7b}"/>
        <w:style w:val=""/>
        <w:category>
          <w:name w:val="常规"/>
          <w:gallery w:val="placeholder"/>
        </w:category>
        <w:types>
          <w:type w:val="bbPlcHdr"/>
        </w:types>
        <w:behaviors>
          <w:behavior w:val="content"/>
        </w:behaviors>
        <w:description w:val=""/>
        <w:guid w:val="{DF468848-AADB-4516-8F33-7FDF0432EE7B}"/>
      </w:docPartPr>
      <w:docPartBody>
        <w:p>
          <w:r>
            <w:rPr>
              <w:color w:val="808080"/>
            </w:rPr>
            <w:t>单击此处输入文字。</w:t>
          </w:r>
        </w:p>
      </w:docPartBody>
    </w:docPart>
    <w:docPart>
      <w:docPartPr>
        <w:name w:val="{0df82ed2-f7ac-4a63-94cb-5a82e95401b6}"/>
        <w:style w:val=""/>
        <w:category>
          <w:name w:val="常规"/>
          <w:gallery w:val="placeholder"/>
        </w:category>
        <w:types>
          <w:type w:val="bbPlcHdr"/>
        </w:types>
        <w:behaviors>
          <w:behavior w:val="content"/>
        </w:behaviors>
        <w:description w:val=""/>
        <w:guid w:val="{0DF82ED2-F7AC-4A63-94CB-5A82E95401B6}"/>
      </w:docPartPr>
      <w:docPartBody>
        <w:p>
          <w:r>
            <w:rPr>
              <w:color w:val="808080"/>
            </w:rPr>
            <w:t>单击此处输入文字。</w:t>
          </w:r>
        </w:p>
      </w:docPartBody>
    </w:docPart>
    <w:docPart>
      <w:docPartPr>
        <w:name w:val="{a5c56b42-285b-49ac-a939-8d54e2cca2cb}"/>
        <w:style w:val=""/>
        <w:category>
          <w:name w:val="常规"/>
          <w:gallery w:val="placeholder"/>
        </w:category>
        <w:types>
          <w:type w:val="bbPlcHdr"/>
        </w:types>
        <w:behaviors>
          <w:behavior w:val="content"/>
        </w:behaviors>
        <w:description w:val=""/>
        <w:guid w:val="{A5C56B42-285B-49AC-A939-8D54E2CCA2CB}"/>
      </w:docPartPr>
      <w:docPartBody>
        <w:p>
          <w:r>
            <w:rPr>
              <w:color w:val="808080"/>
            </w:rPr>
            <w:t>单击此处输入文字。</w:t>
          </w:r>
        </w:p>
      </w:docPartBody>
    </w:docPart>
    <w:docPart>
      <w:docPartPr>
        <w:name w:val="{29117db6-1fbd-4ba7-a0f3-7cd592574ccf}"/>
        <w:style w:val=""/>
        <w:category>
          <w:name w:val="常规"/>
          <w:gallery w:val="placeholder"/>
        </w:category>
        <w:types>
          <w:type w:val="bbPlcHdr"/>
        </w:types>
        <w:behaviors>
          <w:behavior w:val="content"/>
        </w:behaviors>
        <w:description w:val=""/>
        <w:guid w:val="{29117DB6-1FBD-4BA7-A0F3-7CD592574CCF}"/>
      </w:docPartPr>
      <w:docPartBody>
        <w:p>
          <w:r>
            <w:rPr>
              <w:color w:val="808080"/>
            </w:rPr>
            <w:t>单击此处输入文字。</w:t>
          </w:r>
        </w:p>
      </w:docPartBody>
    </w:docPart>
    <w:docPart>
      <w:docPartPr>
        <w:name w:val="{73db4ed7-c83e-46c8-a77f-8bc3a7422b5c}"/>
        <w:style w:val=""/>
        <w:category>
          <w:name w:val="常规"/>
          <w:gallery w:val="placeholder"/>
        </w:category>
        <w:types>
          <w:type w:val="bbPlcHdr"/>
        </w:types>
        <w:behaviors>
          <w:behavior w:val="content"/>
        </w:behaviors>
        <w:description w:val=""/>
        <w:guid w:val="{73DB4ED7-C83E-46C8-A77F-8BC3A7422B5C}"/>
      </w:docPartPr>
      <w:docPartBody>
        <w:p>
          <w:r>
            <w:rPr>
              <w:color w:val="808080"/>
            </w:rPr>
            <w:t>单击此处输入文字。</w:t>
          </w:r>
        </w:p>
      </w:docPartBody>
    </w:docPart>
    <w:docPart>
      <w:docPartPr>
        <w:name w:val="{8e9331a5-9a8d-40c2-9784-1070bf2d6387}"/>
        <w:style w:val=""/>
        <w:category>
          <w:name w:val="常规"/>
          <w:gallery w:val="placeholder"/>
        </w:category>
        <w:types>
          <w:type w:val="bbPlcHdr"/>
        </w:types>
        <w:behaviors>
          <w:behavior w:val="content"/>
        </w:behaviors>
        <w:description w:val=""/>
        <w:guid w:val="{8E9331A5-9A8D-40C2-9784-1070BF2D6387}"/>
      </w:docPartPr>
      <w:docPartBody>
        <w:p>
          <w:r>
            <w:rPr>
              <w:color w:val="808080"/>
            </w:rPr>
            <w:t>单击此处输入文字。</w:t>
          </w:r>
        </w:p>
      </w:docPartBody>
    </w:docPart>
    <w:docPart>
      <w:docPartPr>
        <w:name w:val="{85d16406-132d-44d8-9a46-6225af8e416d}"/>
        <w:style w:val=""/>
        <w:category>
          <w:name w:val="常规"/>
          <w:gallery w:val="placeholder"/>
        </w:category>
        <w:types>
          <w:type w:val="bbPlcHdr"/>
        </w:types>
        <w:behaviors>
          <w:behavior w:val="content"/>
        </w:behaviors>
        <w:description w:val=""/>
        <w:guid w:val="{85D16406-132D-44D8-9A46-6225AF8E416D}"/>
      </w:docPartPr>
      <w:docPartBody>
        <w:p>
          <w:r>
            <w:rPr>
              <w:color w:val="808080"/>
            </w:rPr>
            <w:t>单击此处输入文字。</w:t>
          </w:r>
        </w:p>
      </w:docPartBody>
    </w:docPart>
    <w:docPart>
      <w:docPartPr>
        <w:name w:val="{b3bd8e9b-3cf2-4ce3-b82f-6713f6c329cd}"/>
        <w:style w:val=""/>
        <w:category>
          <w:name w:val="常规"/>
          <w:gallery w:val="placeholder"/>
        </w:category>
        <w:types>
          <w:type w:val="bbPlcHdr"/>
        </w:types>
        <w:behaviors>
          <w:behavior w:val="content"/>
        </w:behaviors>
        <w:description w:val=""/>
        <w:guid w:val="{B3BD8E9B-3CF2-4CE3-B82F-6713F6C329CD}"/>
      </w:docPartPr>
      <w:docPartBody>
        <w:p>
          <w:r>
            <w:rPr>
              <w:color w:val="808080"/>
            </w:rPr>
            <w:t>单击此处输入文字。</w:t>
          </w:r>
        </w:p>
      </w:docPartBody>
    </w:docPart>
    <w:docPart>
      <w:docPartPr>
        <w:name w:val="{dfed313a-9951-4d6e-83a2-2c339192d80a}"/>
        <w:style w:val=""/>
        <w:category>
          <w:name w:val="常规"/>
          <w:gallery w:val="placeholder"/>
        </w:category>
        <w:types>
          <w:type w:val="bbPlcHdr"/>
        </w:types>
        <w:behaviors>
          <w:behavior w:val="content"/>
        </w:behaviors>
        <w:description w:val=""/>
        <w:guid w:val="{DFED313A-9951-4D6E-83A2-2C339192D80A}"/>
      </w:docPartPr>
      <w:docPartBody>
        <w:p>
          <w:r>
            <w:rPr>
              <w:color w:val="808080"/>
            </w:rPr>
            <w:t>单击此处输入文字。</w:t>
          </w:r>
        </w:p>
      </w:docPartBody>
    </w:docPart>
    <w:docPart>
      <w:docPartPr>
        <w:name w:val="{99091812-b0cd-427a-ae8b-b068361b5088}"/>
        <w:style w:val=""/>
        <w:category>
          <w:name w:val="常规"/>
          <w:gallery w:val="placeholder"/>
        </w:category>
        <w:types>
          <w:type w:val="bbPlcHdr"/>
        </w:types>
        <w:behaviors>
          <w:behavior w:val="content"/>
        </w:behaviors>
        <w:description w:val=""/>
        <w:guid w:val="{99091812-B0CD-427A-AE8B-B068361B5088}"/>
      </w:docPartPr>
      <w:docPartBody>
        <w:p>
          <w:r>
            <w:rPr>
              <w:color w:val="808080"/>
            </w:rPr>
            <w:t>单击此处输入文字。</w:t>
          </w:r>
        </w:p>
      </w:docPartBody>
    </w:docPart>
    <w:docPart>
      <w:docPartPr>
        <w:name w:val="{b2b3be2c-75d0-4a11-8a72-0e9953a7d344}"/>
        <w:style w:val=""/>
        <w:category>
          <w:name w:val="常规"/>
          <w:gallery w:val="placeholder"/>
        </w:category>
        <w:types>
          <w:type w:val="bbPlcHdr"/>
        </w:types>
        <w:behaviors>
          <w:behavior w:val="content"/>
        </w:behaviors>
        <w:description w:val=""/>
        <w:guid w:val="{B2B3BE2C-75D0-4A11-8A72-0E9953A7D344}"/>
      </w:docPartPr>
      <w:docPartBody>
        <w:p>
          <w:r>
            <w:rPr>
              <w:color w:val="808080"/>
            </w:rPr>
            <w:t>单击此处输入文字。</w:t>
          </w:r>
        </w:p>
      </w:docPartBody>
    </w:docPart>
    <w:docPart>
      <w:docPartPr>
        <w:name w:val="{049747b8-463e-42ee-85c0-06fc96fff294}"/>
        <w:style w:val=""/>
        <w:category>
          <w:name w:val="常规"/>
          <w:gallery w:val="placeholder"/>
        </w:category>
        <w:types>
          <w:type w:val="bbPlcHdr"/>
        </w:types>
        <w:behaviors>
          <w:behavior w:val="content"/>
        </w:behaviors>
        <w:description w:val=""/>
        <w:guid w:val="{049747B8-463E-42EE-85C0-06FC96FFF294}"/>
      </w:docPartPr>
      <w:docPartBody>
        <w:p>
          <w:r>
            <w:rPr>
              <w:color w:val="808080"/>
            </w:rPr>
            <w:t>单击此处输入文字。</w:t>
          </w:r>
        </w:p>
      </w:docPartBody>
    </w:docPart>
    <w:docPart>
      <w:docPartPr>
        <w:name w:val="{2a62a877-5167-4fe3-afd1-2ddfaf0315d5}"/>
        <w:style w:val=""/>
        <w:category>
          <w:name w:val="常规"/>
          <w:gallery w:val="placeholder"/>
        </w:category>
        <w:types>
          <w:type w:val="bbPlcHdr"/>
        </w:types>
        <w:behaviors>
          <w:behavior w:val="content"/>
        </w:behaviors>
        <w:description w:val=""/>
        <w:guid w:val="{2A62A877-5167-4FE3-AFD1-2DDFAF0315D5}"/>
      </w:docPartPr>
      <w:docPartBody>
        <w:p>
          <w:r>
            <w:rPr>
              <w:color w:val="808080"/>
            </w:rPr>
            <w:t>单击此处输入文字。</w:t>
          </w:r>
        </w:p>
      </w:docPartBody>
    </w:docPart>
    <w:docPart>
      <w:docPartPr>
        <w:name w:val="{b02d9288-3f7a-4a4c-b492-8594c435cd76}"/>
        <w:style w:val=""/>
        <w:category>
          <w:name w:val="常规"/>
          <w:gallery w:val="placeholder"/>
        </w:category>
        <w:types>
          <w:type w:val="bbPlcHdr"/>
        </w:types>
        <w:behaviors>
          <w:behavior w:val="content"/>
        </w:behaviors>
        <w:description w:val=""/>
        <w:guid w:val="{B02D9288-3F7A-4A4C-B492-8594C435CD76}"/>
      </w:docPartPr>
      <w:docPartBody>
        <w:p>
          <w:r>
            <w:rPr>
              <w:color w:val="808080"/>
            </w:rPr>
            <w:t>单击此处输入文字。</w:t>
          </w:r>
        </w:p>
      </w:docPartBody>
    </w:docPart>
    <w:docPart>
      <w:docPartPr>
        <w:name w:val="{045bf703-a26d-479c-8468-9b4ebd41752c}"/>
        <w:style w:val=""/>
        <w:category>
          <w:name w:val="常规"/>
          <w:gallery w:val="placeholder"/>
        </w:category>
        <w:types>
          <w:type w:val="bbPlcHdr"/>
        </w:types>
        <w:behaviors>
          <w:behavior w:val="content"/>
        </w:behaviors>
        <w:description w:val=""/>
        <w:guid w:val="{045BF703-A26D-479C-8468-9B4EBD41752C}"/>
      </w:docPartPr>
      <w:docPartBody>
        <w:p>
          <w:r>
            <w:rPr>
              <w:color w:val="808080"/>
            </w:rPr>
            <w:t>单击此处输入文字。</w:t>
          </w:r>
        </w:p>
      </w:docPartBody>
    </w:docPart>
    <w:docPart>
      <w:docPartPr>
        <w:name w:val="{581dca2c-4348-484f-a5f2-c4975eb81a49}"/>
        <w:style w:val=""/>
        <w:category>
          <w:name w:val="常规"/>
          <w:gallery w:val="placeholder"/>
        </w:category>
        <w:types>
          <w:type w:val="bbPlcHdr"/>
        </w:types>
        <w:behaviors>
          <w:behavior w:val="content"/>
        </w:behaviors>
        <w:description w:val=""/>
        <w:guid w:val="{581DCA2C-4348-484F-A5F2-C4975EB81A49}"/>
      </w:docPartPr>
      <w:docPartBody>
        <w:p>
          <w:r>
            <w:rPr>
              <w:color w:val="808080"/>
            </w:rPr>
            <w:t>单击此处输入文字。</w:t>
          </w:r>
        </w:p>
      </w:docPartBody>
    </w:docPart>
    <w:docPart>
      <w:docPartPr>
        <w:name w:val="{df7efce2-2efd-49b6-82be-71f20b2bab52}"/>
        <w:style w:val=""/>
        <w:category>
          <w:name w:val="常规"/>
          <w:gallery w:val="placeholder"/>
        </w:category>
        <w:types>
          <w:type w:val="bbPlcHdr"/>
        </w:types>
        <w:behaviors>
          <w:behavior w:val="content"/>
        </w:behaviors>
        <w:description w:val=""/>
        <w:guid w:val="{DF7EFCE2-2EFD-49B6-82BE-71F20B2BAB52}"/>
      </w:docPartPr>
      <w:docPartBody>
        <w:p>
          <w:r>
            <w:rPr>
              <w:color w:val="808080"/>
            </w:rPr>
            <w:t>单击此处输入文字。</w:t>
          </w:r>
        </w:p>
      </w:docPartBody>
    </w:docPart>
    <w:docPart>
      <w:docPartPr>
        <w:name w:val="{f45043c0-391d-4897-9149-42cae49a28fb}"/>
        <w:style w:val=""/>
        <w:category>
          <w:name w:val="常规"/>
          <w:gallery w:val="placeholder"/>
        </w:category>
        <w:types>
          <w:type w:val="bbPlcHdr"/>
        </w:types>
        <w:behaviors>
          <w:behavior w:val="content"/>
        </w:behaviors>
        <w:description w:val=""/>
        <w:guid w:val="{F45043C0-391D-4897-9149-42CAE49A28FB}"/>
      </w:docPartPr>
      <w:docPartBody>
        <w:p>
          <w:r>
            <w:rPr>
              <w:color w:val="808080"/>
            </w:rPr>
            <w:t>单击此处输入文字。</w:t>
          </w:r>
        </w:p>
      </w:docPartBody>
    </w:docPart>
    <w:docPart>
      <w:docPartPr>
        <w:name w:val="{393db793-fda7-449a-855f-d9fa26ceb41d}"/>
        <w:style w:val=""/>
        <w:category>
          <w:name w:val="常规"/>
          <w:gallery w:val="placeholder"/>
        </w:category>
        <w:types>
          <w:type w:val="bbPlcHdr"/>
        </w:types>
        <w:behaviors>
          <w:behavior w:val="content"/>
        </w:behaviors>
        <w:description w:val=""/>
        <w:guid w:val="{393DB793-FDA7-449A-855F-D9FA26CEB41D}"/>
      </w:docPartPr>
      <w:docPartBody>
        <w:p>
          <w:r>
            <w:rPr>
              <w:color w:val="808080"/>
            </w:rPr>
            <w:t>单击此处输入文字。</w:t>
          </w:r>
        </w:p>
      </w:docPartBody>
    </w:docPart>
    <w:docPart>
      <w:docPartPr>
        <w:name w:val="{edd9a7b3-abec-4221-b100-63283ec97b1e}"/>
        <w:style w:val=""/>
        <w:category>
          <w:name w:val="常规"/>
          <w:gallery w:val="placeholder"/>
        </w:category>
        <w:types>
          <w:type w:val="bbPlcHdr"/>
        </w:types>
        <w:behaviors>
          <w:behavior w:val="content"/>
        </w:behaviors>
        <w:description w:val=""/>
        <w:guid w:val="{EDD9A7B3-ABEC-4221-B100-63283EC97B1E}"/>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5A3"/>
    <w:rsid w:val="0010722E"/>
    <w:rsid w:val="00622AB9"/>
    <w:rsid w:val="00665C5C"/>
    <w:rsid w:val="007575A3"/>
    <w:rsid w:val="00C208A0"/>
    <w:rsid w:val="00C27931"/>
    <w:rsid w:val="00F464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uiPriority="1" w:name="Default Paragraph Font"/>
    <w:lsdException w:uiPriority="99" w:name="Normal Table"/>
  </w:latentStyles>
  <w:style w:type="paragraph" w:default="1" w:styleId="1">
    <w:name w:val="Normal"/>
    <w:qFormat/>
    <w:uiPriority w:val="0"/>
    <w:pPr>
      <w:widowControl w:val="0"/>
      <w:jc w:val="both"/>
    </w:pPr>
    <w:rPr>
      <w:rFonts w:asciiTheme="minorHAnsi" w:hAnsiTheme="minorHAnsi" w:eastAsiaTheme="minorEastAsia" w:cstheme="minorBidi"/>
      <w:lang w:val="en-US" w:eastAsia="zh-CN"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31</Pages>
  <Words>2408</Words>
  <Characters>13728</Characters>
  <Lines>114</Lines>
  <Paragraphs>32</Paragraphs>
  <TotalTime>196</TotalTime>
  <ScaleCrop>false</ScaleCrop>
  <LinksUpToDate>false</LinksUpToDate>
  <CharactersWithSpaces>16104</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2021-12-07T07:20:00Z</dcterms:created>
  <dc:creator>admin</dc:creator>
  <cp:lastModifiedBy>admin</cp:lastModifiedBy>
  <cp:lastPrinted>2021-12-13T01:11:14Z</cp:lastPrinted>
  <dcterms:modified xsi:type="dcterms:W3CDTF">2021-12-13T01:12:19Z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ribbonExt">
    <vt:lpwstr>{"WPSExtOfficeTab":{"OnGetEnabled":false,"OnGetVisible":false}}</vt:lpwstr>
  </property>
  <property fmtid="{D5CDD505-2E9C-101B-9397-08002B2CF9AE}" pid="4" name="ICV">
    <vt:lpwstr>649FEF67F7E143239C1C724B7FC6CA8E</vt:lpwstr>
  </property>
</Properties>
</file>